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BA" w:rsidRPr="00167213" w:rsidRDefault="00EE65C7" w:rsidP="005F2175">
      <w:pPr>
        <w:spacing w:line="360" w:lineRule="auto"/>
        <w:jc w:val="center"/>
        <w:rPr>
          <w:b/>
          <w:caps/>
        </w:rPr>
      </w:pPr>
      <w:r w:rsidRPr="00167213">
        <w:rPr>
          <w:b/>
          <w:caps/>
        </w:rPr>
        <w:t>министерство здравоохранения российской федерации</w:t>
      </w:r>
    </w:p>
    <w:p w:rsidR="00EE65C7" w:rsidRPr="00D1488B" w:rsidRDefault="00EE65C7" w:rsidP="005F2175">
      <w:pPr>
        <w:spacing w:line="360" w:lineRule="auto"/>
        <w:jc w:val="center"/>
        <w:rPr>
          <w:caps/>
        </w:rPr>
      </w:pPr>
    </w:p>
    <w:p w:rsidR="00A1165F" w:rsidRPr="00167213" w:rsidRDefault="00A1165F" w:rsidP="005F2175">
      <w:pPr>
        <w:spacing w:line="360" w:lineRule="auto"/>
        <w:jc w:val="center"/>
        <w:rPr>
          <w:b/>
          <w:caps/>
        </w:rPr>
      </w:pPr>
      <w:r w:rsidRPr="00167213">
        <w:rPr>
          <w:b/>
          <w:caps/>
        </w:rPr>
        <w:t xml:space="preserve">ИНСТРУКЦИЯ </w:t>
      </w:r>
    </w:p>
    <w:p w:rsidR="006C4B50" w:rsidRPr="00167213" w:rsidRDefault="006C4B50" w:rsidP="005F2175">
      <w:pPr>
        <w:spacing w:line="360" w:lineRule="auto"/>
        <w:jc w:val="center"/>
        <w:rPr>
          <w:b/>
        </w:rPr>
      </w:pPr>
      <w:r w:rsidRPr="00167213">
        <w:rPr>
          <w:b/>
        </w:rPr>
        <w:t>ПО МЕДИЦИНСКОМУ ПРИМЕНЕНИЮ ЛЕКАРСТВЕННОГО ПРЕПАРАТА</w:t>
      </w:r>
    </w:p>
    <w:p w:rsidR="00A1165F" w:rsidRPr="00C30130" w:rsidRDefault="0029362E" w:rsidP="0029362E">
      <w:pPr>
        <w:spacing w:line="360" w:lineRule="auto"/>
        <w:jc w:val="center"/>
        <w:rPr>
          <w:b/>
          <w:caps/>
        </w:rPr>
      </w:pPr>
      <w:r w:rsidRPr="00C30130">
        <w:rPr>
          <w:b/>
          <w:caps/>
        </w:rPr>
        <w:t>СПАЗГАН НЕО</w:t>
      </w:r>
    </w:p>
    <w:p w:rsidR="00A928F5" w:rsidRPr="00C30130" w:rsidRDefault="00A928F5" w:rsidP="005F2175">
      <w:pPr>
        <w:spacing w:line="360" w:lineRule="auto"/>
        <w:jc w:val="center"/>
        <w:rPr>
          <w:caps/>
        </w:rPr>
      </w:pPr>
    </w:p>
    <w:p w:rsidR="00294153" w:rsidRPr="00C30130" w:rsidRDefault="00294153" w:rsidP="005F2175">
      <w:pPr>
        <w:spacing w:line="360" w:lineRule="auto"/>
        <w:rPr>
          <w:b/>
        </w:rPr>
      </w:pPr>
      <w:r w:rsidRPr="00C30130">
        <w:rPr>
          <w:b/>
        </w:rPr>
        <w:t>Регистрационный номер:</w:t>
      </w:r>
      <w:r w:rsidR="00322C53" w:rsidRPr="00C30130">
        <w:rPr>
          <w:b/>
        </w:rPr>
        <w:t xml:space="preserve"> ЛП-003270</w:t>
      </w:r>
    </w:p>
    <w:p w:rsidR="00A928F5" w:rsidRPr="00C30130" w:rsidRDefault="00A928F5" w:rsidP="005F2175">
      <w:pPr>
        <w:spacing w:line="360" w:lineRule="auto"/>
      </w:pPr>
      <w:r w:rsidRPr="00C30130">
        <w:rPr>
          <w:b/>
        </w:rPr>
        <w:t>Торговое</w:t>
      </w:r>
      <w:r w:rsidR="006C4B50">
        <w:rPr>
          <w:b/>
        </w:rPr>
        <w:t xml:space="preserve"> наименование</w:t>
      </w:r>
      <w:r w:rsidRPr="00C30130">
        <w:rPr>
          <w:b/>
        </w:rPr>
        <w:t>:</w:t>
      </w:r>
      <w:r w:rsidR="001F1265" w:rsidRPr="00C30130">
        <w:t xml:space="preserve"> </w:t>
      </w:r>
      <w:r w:rsidR="000419E7" w:rsidRPr="00C30130">
        <w:t>СПАЗГАН НЕО</w:t>
      </w:r>
    </w:p>
    <w:p w:rsidR="001F6E5F" w:rsidRDefault="00A928F5" w:rsidP="005F2175">
      <w:pPr>
        <w:spacing w:line="360" w:lineRule="auto"/>
        <w:rPr>
          <w:b/>
          <w:strike/>
        </w:rPr>
      </w:pPr>
      <w:r w:rsidRPr="00C30130">
        <w:rPr>
          <w:b/>
        </w:rPr>
        <w:t>Международное непатентованное или группировочное</w:t>
      </w:r>
      <w:r w:rsidR="006C4B50">
        <w:rPr>
          <w:b/>
        </w:rPr>
        <w:t xml:space="preserve"> наименования</w:t>
      </w:r>
      <w:r w:rsidRPr="00C30130">
        <w:rPr>
          <w:b/>
        </w:rPr>
        <w:t xml:space="preserve"> </w:t>
      </w:r>
    </w:p>
    <w:p w:rsidR="00A928F5" w:rsidRPr="00C30130" w:rsidRDefault="00A928F5" w:rsidP="005F2175">
      <w:pPr>
        <w:spacing w:line="360" w:lineRule="auto"/>
      </w:pPr>
      <w:r w:rsidRPr="00C30130">
        <w:t>Ибупрофен + питофенон + фенпивериния бромид</w:t>
      </w:r>
    </w:p>
    <w:p w:rsidR="00A928F5" w:rsidRPr="00C30130" w:rsidRDefault="00A928F5" w:rsidP="005F2175">
      <w:pPr>
        <w:spacing w:line="360" w:lineRule="auto"/>
        <w:rPr>
          <w:b/>
        </w:rPr>
      </w:pPr>
      <w:r w:rsidRPr="00C30130">
        <w:rPr>
          <w:b/>
        </w:rPr>
        <w:t>Лекарственная форма</w:t>
      </w:r>
    </w:p>
    <w:p w:rsidR="00A928F5" w:rsidRPr="00C30130" w:rsidRDefault="00A928F5" w:rsidP="005F2175">
      <w:pPr>
        <w:spacing w:line="360" w:lineRule="auto"/>
      </w:pPr>
      <w:r w:rsidRPr="00C30130">
        <w:t>Таблетки, покрытые пленочной оболочкой</w:t>
      </w:r>
    </w:p>
    <w:p w:rsidR="00A928F5" w:rsidRPr="00C30130" w:rsidRDefault="00A928F5" w:rsidP="005F2175">
      <w:pPr>
        <w:spacing w:line="360" w:lineRule="auto"/>
        <w:rPr>
          <w:b/>
        </w:rPr>
      </w:pPr>
      <w:r w:rsidRPr="00C30130">
        <w:rPr>
          <w:b/>
        </w:rPr>
        <w:t>Состав</w:t>
      </w:r>
    </w:p>
    <w:p w:rsidR="00AE778B" w:rsidRPr="00C30130" w:rsidRDefault="00AE778B" w:rsidP="00D535B8">
      <w:pPr>
        <w:spacing w:line="360" w:lineRule="auto"/>
      </w:pPr>
      <w:r w:rsidRPr="00C30130">
        <w:t>Каждая таблетка</w:t>
      </w:r>
      <w:r w:rsidR="001F1265" w:rsidRPr="00C30130">
        <w:t>, покрытая пленочной оболочкой,</w:t>
      </w:r>
      <w:r w:rsidRPr="00C30130">
        <w:t xml:space="preserve"> содержит:</w:t>
      </w:r>
    </w:p>
    <w:p w:rsidR="00AE778B" w:rsidRPr="00C30130" w:rsidRDefault="006C4B50" w:rsidP="00D535B8">
      <w:pPr>
        <w:spacing w:line="360" w:lineRule="auto"/>
        <w:jc w:val="both"/>
      </w:pPr>
      <w:r>
        <w:rPr>
          <w:i/>
        </w:rPr>
        <w:t xml:space="preserve">Действующие </w:t>
      </w:r>
      <w:r w:rsidR="00AE778B" w:rsidRPr="00C30130">
        <w:rPr>
          <w:i/>
        </w:rPr>
        <w:t>вещества:</w:t>
      </w:r>
      <w:r w:rsidR="00AE778B" w:rsidRPr="00C30130">
        <w:t xml:space="preserve"> ибупрофен 400,0 мг, питофенона гидрохлорид 5,0 мг, фенпивериния бромид 0,1 мг.</w:t>
      </w:r>
    </w:p>
    <w:p w:rsidR="00AE778B" w:rsidRPr="00C30130" w:rsidRDefault="00AE778B" w:rsidP="00D535B8">
      <w:pPr>
        <w:widowControl w:val="0"/>
        <w:spacing w:line="360" w:lineRule="auto"/>
        <w:jc w:val="both"/>
      </w:pPr>
      <w:r w:rsidRPr="00C30130">
        <w:rPr>
          <w:i/>
        </w:rPr>
        <w:t xml:space="preserve">Вспомогательные вещества: </w:t>
      </w:r>
      <w:r w:rsidRPr="00C30130">
        <w:t>крахмал</w:t>
      </w:r>
      <w:r w:rsidR="00227267" w:rsidRPr="00C30130">
        <w:t xml:space="preserve"> кукурузный</w:t>
      </w:r>
      <w:r w:rsidRPr="00C30130">
        <w:t xml:space="preserve"> 88,0 мг,</w:t>
      </w:r>
      <w:r w:rsidR="00227267" w:rsidRPr="00C30130">
        <w:t xml:space="preserve"> микрокристаллическая</w:t>
      </w:r>
      <w:r w:rsidRPr="00C30130">
        <w:t xml:space="preserve"> целлюлоза 85,9 мг, </w:t>
      </w:r>
      <w:r w:rsidR="00F52CC6" w:rsidRPr="00C30130">
        <w:t>кар</w:t>
      </w:r>
      <w:r w:rsidR="00227267" w:rsidRPr="00C30130">
        <w:t>боксиметилкрахмал натрия</w:t>
      </w:r>
      <w:r w:rsidR="00F52CC6" w:rsidRPr="00C30130">
        <w:t xml:space="preserve"> (тип А) 14,7</w:t>
      </w:r>
      <w:r w:rsidR="00FB388C" w:rsidRPr="00C30130">
        <w:t xml:space="preserve"> мг, альгиновая кислота 10,6 мг, динатрия эдетат</w:t>
      </w:r>
      <w:r w:rsidR="00F52CC6" w:rsidRPr="00C30130">
        <w:t>а</w:t>
      </w:r>
      <w:r w:rsidR="00FB388C" w:rsidRPr="00C30130">
        <w:t xml:space="preserve"> </w:t>
      </w:r>
      <w:r w:rsidR="00227267" w:rsidRPr="00C30130">
        <w:t xml:space="preserve">дигидрат </w:t>
      </w:r>
      <w:r w:rsidR="00FB388C" w:rsidRPr="00C30130">
        <w:t xml:space="preserve">0,6 мг, повидон </w:t>
      </w:r>
      <w:r w:rsidR="00227267" w:rsidRPr="00C30130">
        <w:t>(</w:t>
      </w:r>
      <w:r w:rsidR="00227267" w:rsidRPr="00C30130">
        <w:rPr>
          <w:lang w:val="en-US"/>
        </w:rPr>
        <w:t>PVP</w:t>
      </w:r>
      <w:r w:rsidR="00227267" w:rsidRPr="00C30130">
        <w:t xml:space="preserve"> </w:t>
      </w:r>
      <w:r w:rsidR="00FB388C" w:rsidRPr="00C30130">
        <w:t>К-90</w:t>
      </w:r>
      <w:r w:rsidR="00227267" w:rsidRPr="00C30130">
        <w:t>)</w:t>
      </w:r>
      <w:r w:rsidR="00FB388C" w:rsidRPr="00C30130">
        <w:t xml:space="preserve"> 11,0 мг, диоксид кремния коллоидный (аэросил</w:t>
      </w:r>
      <w:r w:rsidR="001F1265" w:rsidRPr="00C30130">
        <w:t xml:space="preserve"> 200) 7,0 мг, </w:t>
      </w:r>
      <w:r w:rsidR="00FB388C" w:rsidRPr="00C30130">
        <w:t xml:space="preserve">кроскармеллоза натрия 4,7 мг, лаурилсульфат натрия 2,4 мг, магния стеарат 5,0 мг, тальк 5,0 мг; </w:t>
      </w:r>
      <w:r w:rsidR="00D62D97" w:rsidRPr="00C30130">
        <w:t>вспомогательные вещества (</w:t>
      </w:r>
      <w:r w:rsidR="00FB388C" w:rsidRPr="00C30130">
        <w:t>оболочка</w:t>
      </w:r>
      <w:r w:rsidR="00D62D97" w:rsidRPr="00C30130">
        <w:t>)</w:t>
      </w:r>
      <w:r w:rsidR="00FB388C" w:rsidRPr="00C30130">
        <w:t>:</w:t>
      </w:r>
      <w:r w:rsidR="007F27DE" w:rsidRPr="00C30130">
        <w:t xml:space="preserve"> </w:t>
      </w:r>
      <w:proofErr w:type="spellStart"/>
      <w:r w:rsidR="007F27DE" w:rsidRPr="00C30130">
        <w:t>опадр</w:t>
      </w:r>
      <w:r w:rsidR="001A0A13" w:rsidRPr="00C30130">
        <w:t>а</w:t>
      </w:r>
      <w:r w:rsidR="007F27DE" w:rsidRPr="00C30130">
        <w:t>й</w:t>
      </w:r>
      <w:proofErr w:type="spellEnd"/>
      <w:r w:rsidR="007F27DE" w:rsidRPr="00C30130">
        <w:t xml:space="preserve"> </w:t>
      </w:r>
      <w:r w:rsidR="007F27DE" w:rsidRPr="00C30130">
        <w:rPr>
          <w:lang w:val="en-US"/>
        </w:rPr>
        <w:t>II</w:t>
      </w:r>
      <w:r w:rsidR="007F27DE" w:rsidRPr="00C30130">
        <w:t xml:space="preserve"> 85</w:t>
      </w:r>
      <w:r w:rsidR="00F52CC6" w:rsidRPr="00C30130">
        <w:rPr>
          <w:lang w:val="en-US"/>
        </w:rPr>
        <w:t>G</w:t>
      </w:r>
      <w:r w:rsidR="007F27DE" w:rsidRPr="00C30130">
        <w:t>68918 белый 19,2 мг</w:t>
      </w:r>
      <w:r w:rsidR="00F52CC6" w:rsidRPr="00C30130">
        <w:t xml:space="preserve">: </w:t>
      </w:r>
      <w:r w:rsidR="009C5772" w:rsidRPr="00C30130">
        <w:t>поливиниловый спирт 7,4 мг, титана диоксид 5,76 мг, тальк 3,36 мг, макрогол 2,1 мг, лецитин соевый 0,58 мг</w:t>
      </w:r>
      <w:r w:rsidR="007F27DE" w:rsidRPr="00C30130">
        <w:t>.</w:t>
      </w:r>
    </w:p>
    <w:p w:rsidR="007F27DE" w:rsidRPr="00C30130" w:rsidRDefault="007F27DE" w:rsidP="005F2175">
      <w:pPr>
        <w:spacing w:line="360" w:lineRule="auto"/>
        <w:rPr>
          <w:b/>
        </w:rPr>
      </w:pPr>
      <w:r w:rsidRPr="00C30130">
        <w:rPr>
          <w:b/>
        </w:rPr>
        <w:t>Описание</w:t>
      </w:r>
    </w:p>
    <w:p w:rsidR="005A7EBE" w:rsidRPr="00C30130" w:rsidRDefault="008327B9" w:rsidP="005F2175">
      <w:pPr>
        <w:spacing w:line="360" w:lineRule="auto"/>
      </w:pPr>
      <w:r w:rsidRPr="00C30130">
        <w:t>Круглые двояковыпуклые таблетки, покрытые пленочной оболочкой</w:t>
      </w:r>
      <w:r w:rsidR="005F064B" w:rsidRPr="00C30130">
        <w:t>,</w:t>
      </w:r>
      <w:r w:rsidRPr="00C30130">
        <w:t xml:space="preserve"> белого цвета, на одной стороне гравировка «</w:t>
      </w:r>
      <w:r w:rsidRPr="00C30130">
        <w:rPr>
          <w:lang w:val="en-US"/>
        </w:rPr>
        <w:t>W</w:t>
      </w:r>
      <w:r w:rsidRPr="00C30130">
        <w:t xml:space="preserve">». </w:t>
      </w:r>
    </w:p>
    <w:p w:rsidR="005A7EBE" w:rsidRPr="00C30130" w:rsidRDefault="009D0A3D" w:rsidP="005F2175">
      <w:pPr>
        <w:spacing w:line="360" w:lineRule="auto"/>
      </w:pPr>
      <w:r w:rsidRPr="00C30130">
        <w:rPr>
          <w:b/>
        </w:rPr>
        <w:t>Фармакотерапевтическая группа:</w:t>
      </w:r>
      <w:r w:rsidRPr="00C30130">
        <w:t xml:space="preserve"> анальгетическое </w:t>
      </w:r>
      <w:r w:rsidR="003B76D0" w:rsidRPr="00C30130">
        <w:t>спазмолитическое</w:t>
      </w:r>
      <w:r w:rsidRPr="00C30130">
        <w:t xml:space="preserve"> средство комбинированное.</w:t>
      </w:r>
    </w:p>
    <w:p w:rsidR="008A2C4F" w:rsidRPr="00C30130" w:rsidRDefault="000F264A" w:rsidP="005F2175">
      <w:pPr>
        <w:spacing w:line="360" w:lineRule="auto"/>
      </w:pPr>
      <w:r w:rsidRPr="00C30130">
        <w:rPr>
          <w:b/>
        </w:rPr>
        <w:t xml:space="preserve">Код АТХ: </w:t>
      </w:r>
      <w:r w:rsidRPr="00C30130">
        <w:t>МО1АЕ51</w:t>
      </w:r>
    </w:p>
    <w:p w:rsidR="000F264A" w:rsidRPr="00C30130" w:rsidRDefault="000F264A" w:rsidP="005F2175">
      <w:pPr>
        <w:spacing w:line="360" w:lineRule="auto"/>
        <w:rPr>
          <w:b/>
        </w:rPr>
      </w:pPr>
      <w:r w:rsidRPr="00C30130">
        <w:rPr>
          <w:b/>
        </w:rPr>
        <w:t>Фармакологические свойства</w:t>
      </w:r>
    </w:p>
    <w:p w:rsidR="000F264A" w:rsidRPr="00C30130" w:rsidRDefault="000F264A" w:rsidP="005F2175">
      <w:pPr>
        <w:spacing w:line="360" w:lineRule="auto"/>
        <w:rPr>
          <w:b/>
        </w:rPr>
      </w:pPr>
      <w:r w:rsidRPr="00C30130">
        <w:rPr>
          <w:b/>
        </w:rPr>
        <w:t>Фармакодинамика</w:t>
      </w:r>
    </w:p>
    <w:p w:rsidR="000F264A" w:rsidRPr="00C30130" w:rsidRDefault="000F264A" w:rsidP="005F2175">
      <w:pPr>
        <w:spacing w:line="360" w:lineRule="auto"/>
        <w:jc w:val="both"/>
      </w:pPr>
      <w:r w:rsidRPr="00C30130">
        <w:t>Комбинированный препарат, оказывает анальгезирующее, противовоспалительное и спазмолитическое действие. Подавляет синтез простагландинов (</w:t>
      </w:r>
      <w:r w:rsidRPr="00C30130">
        <w:rPr>
          <w:lang w:val="en-US"/>
        </w:rPr>
        <w:t>Pg</w:t>
      </w:r>
      <w:r w:rsidRPr="00C30130">
        <w:t xml:space="preserve">). В состав препарата входит нестероидное противовоспалительное средство ибупрофен, миотропное </w:t>
      </w:r>
      <w:r w:rsidRPr="00C30130">
        <w:lastRenderedPageBreak/>
        <w:t>спазмолитическое средство питофенона гидрохлорид и м-холиноблокирующее средство центрального и периферического действия фенпивериния бромид.</w:t>
      </w:r>
    </w:p>
    <w:p w:rsidR="000F264A" w:rsidRPr="00C30130" w:rsidRDefault="000F264A" w:rsidP="005F2175">
      <w:pPr>
        <w:spacing w:line="360" w:lineRule="auto"/>
        <w:jc w:val="both"/>
      </w:pPr>
      <w:r w:rsidRPr="00C30130">
        <w:rPr>
          <w:i/>
        </w:rPr>
        <w:t>Ибупрофен</w:t>
      </w:r>
      <w:r w:rsidRPr="00C30130">
        <w:t xml:space="preserve"> является производным фенилпропионовой кислоты. Обладает болеутоляющим, противовоспалительным и жаропонижающим действием. Основной механизм действия – угнетение биосинтеза</w:t>
      </w:r>
      <w:r w:rsidR="00BC1B8F" w:rsidRPr="00C30130">
        <w:t xml:space="preserve"> простагландинов – модуляторов болевой чувствительности, терморегуляции и воспаления в центральной нервной системе и периферических тканях. У женщин с первичной дисменореей снижает повышенный уровень простагландинов в миометрии, за счет чего уменьшает внутриматочное давление и частоту маточных сокращений.</w:t>
      </w:r>
    </w:p>
    <w:p w:rsidR="007A7299" w:rsidRPr="00C30130" w:rsidRDefault="007A7299" w:rsidP="005F2175">
      <w:pPr>
        <w:spacing w:line="360" w:lineRule="auto"/>
        <w:jc w:val="both"/>
      </w:pPr>
      <w:r w:rsidRPr="00C30130">
        <w:rPr>
          <w:i/>
        </w:rPr>
        <w:t>Питофенона гидрохлорид</w:t>
      </w:r>
      <w:r w:rsidRPr="00C30130">
        <w:t>, подобно папаверину, оказывает прямое миотропное действие на гладкую мускулатуру внутренних органов и вызывает ее расслабление.</w:t>
      </w:r>
    </w:p>
    <w:p w:rsidR="003811A3" w:rsidRPr="00C30130" w:rsidRDefault="003811A3" w:rsidP="005F2175">
      <w:pPr>
        <w:spacing w:line="360" w:lineRule="auto"/>
        <w:jc w:val="both"/>
      </w:pPr>
      <w:r w:rsidRPr="00C30130">
        <w:rPr>
          <w:i/>
        </w:rPr>
        <w:t>Фенпивериния бромид</w:t>
      </w:r>
      <w:r w:rsidRPr="00C30130">
        <w:t xml:space="preserve"> за счет м-холиноблокирующего действия оказывает дополнительное расслабляющее воздействие на гладкую мускулатуру.</w:t>
      </w:r>
    </w:p>
    <w:p w:rsidR="008E5FAE" w:rsidRPr="00C30130" w:rsidRDefault="008E5FAE" w:rsidP="005F2175">
      <w:pPr>
        <w:spacing w:line="360" w:lineRule="auto"/>
        <w:jc w:val="both"/>
      </w:pPr>
      <w:r w:rsidRPr="00C30130">
        <w:t>Сочетание трех компонентов препарата приводит к взаимному усилению их фармакологического действия.</w:t>
      </w:r>
    </w:p>
    <w:p w:rsidR="002D5A12" w:rsidRPr="00C30130" w:rsidRDefault="002D5A12" w:rsidP="005F2175">
      <w:pPr>
        <w:spacing w:line="360" w:lineRule="auto"/>
        <w:jc w:val="both"/>
        <w:rPr>
          <w:b/>
        </w:rPr>
      </w:pPr>
      <w:r w:rsidRPr="00C30130">
        <w:rPr>
          <w:b/>
        </w:rPr>
        <w:t>Фармакокинетика</w:t>
      </w:r>
    </w:p>
    <w:p w:rsidR="005F2175" w:rsidRPr="00C30130" w:rsidRDefault="002D5A12" w:rsidP="005F2175">
      <w:pPr>
        <w:spacing w:line="360" w:lineRule="auto"/>
        <w:jc w:val="both"/>
      </w:pPr>
      <w:r w:rsidRPr="00C30130">
        <w:t xml:space="preserve">Компоненты препарата </w:t>
      </w:r>
      <w:r w:rsidR="001F1265" w:rsidRPr="00C30130">
        <w:t>СПАЗГАН НЕО</w:t>
      </w:r>
      <w:r w:rsidR="002820EC" w:rsidRPr="00C30130">
        <w:rPr>
          <w:vertAlign w:val="superscript"/>
        </w:rPr>
        <w:t xml:space="preserve"> </w:t>
      </w:r>
      <w:r w:rsidRPr="00C30130">
        <w:t xml:space="preserve"> хорошо всасываются в желудочно-кишечном тракте. Пик концентрации в плазме крови достигается, примерно, через 1-2 часа после приема препарата. Основной комп</w:t>
      </w:r>
      <w:r w:rsidR="00585616" w:rsidRPr="00C30130">
        <w:t>о</w:t>
      </w:r>
      <w:r w:rsidRPr="00C30130">
        <w:t xml:space="preserve">нент препарата ибупрофен на 99% связывается с белками плазмы крови, может накапливаться в синовиальной жидкости, метаболизируется в печени и выводится на 90% с мочой в виде метаболитов и конъюгатов. Небольшая часть препарата экскретируется с желчью. Период полувыведения из плазмы крови составляет </w:t>
      </w:r>
    </w:p>
    <w:p w:rsidR="002D5A12" w:rsidRPr="00C30130" w:rsidRDefault="002D5A12" w:rsidP="005F2175">
      <w:pPr>
        <w:spacing w:line="360" w:lineRule="auto"/>
        <w:jc w:val="both"/>
      </w:pPr>
      <w:r w:rsidRPr="00C30130">
        <w:t>2 часа.</w:t>
      </w:r>
    </w:p>
    <w:p w:rsidR="0029070F" w:rsidRPr="00C30130" w:rsidRDefault="008A7D27" w:rsidP="005F2175">
      <w:pPr>
        <w:spacing w:line="360" w:lineRule="auto"/>
        <w:jc w:val="both"/>
        <w:rPr>
          <w:b/>
        </w:rPr>
      </w:pPr>
      <w:r w:rsidRPr="00C30130">
        <w:rPr>
          <w:b/>
        </w:rPr>
        <w:t>Показания</w:t>
      </w:r>
      <w:r w:rsidR="006C4B50">
        <w:rPr>
          <w:b/>
        </w:rPr>
        <w:t xml:space="preserve"> к применению</w:t>
      </w:r>
    </w:p>
    <w:p w:rsidR="0029070F" w:rsidRPr="00C30130" w:rsidRDefault="0029070F" w:rsidP="005F2175">
      <w:pPr>
        <w:spacing w:line="360" w:lineRule="auto"/>
        <w:jc w:val="both"/>
      </w:pPr>
      <w:r w:rsidRPr="00C30130">
        <w:t xml:space="preserve">- Слабо и умеренно </w:t>
      </w:r>
      <w:proofErr w:type="gramStart"/>
      <w:r w:rsidRPr="00C30130">
        <w:t>выраженный</w:t>
      </w:r>
      <w:proofErr w:type="gramEnd"/>
      <w:r w:rsidRPr="00C30130">
        <w:t xml:space="preserve"> болевой синдром при спазмах гладкой мускулатуры внутренних органов: почечная и желчная колика, дискинезия желчевыводящих путей, </w:t>
      </w:r>
      <w:r w:rsidR="00843E39" w:rsidRPr="00C30130">
        <w:t>кишечная колика.</w:t>
      </w:r>
    </w:p>
    <w:p w:rsidR="00843E39" w:rsidRPr="00C30130" w:rsidRDefault="00843E39" w:rsidP="005F2175">
      <w:pPr>
        <w:spacing w:line="360" w:lineRule="auto"/>
        <w:jc w:val="both"/>
      </w:pPr>
      <w:r w:rsidRPr="00C30130">
        <w:t xml:space="preserve">- Гинекологические заболевания: </w:t>
      </w:r>
      <w:r w:rsidR="0046538A" w:rsidRPr="00C30130">
        <w:t>дисменорея</w:t>
      </w:r>
      <w:r w:rsidRPr="00C30130">
        <w:t>.</w:t>
      </w:r>
    </w:p>
    <w:p w:rsidR="00843E39" w:rsidRPr="00C30130" w:rsidRDefault="00843E39" w:rsidP="005F2175">
      <w:pPr>
        <w:spacing w:line="360" w:lineRule="auto"/>
        <w:jc w:val="both"/>
      </w:pPr>
      <w:r w:rsidRPr="00C30130">
        <w:t>- Головная боль, в том числе,</w:t>
      </w:r>
      <w:r w:rsidR="008A7D27" w:rsidRPr="00C30130">
        <w:t xml:space="preserve"> </w:t>
      </w:r>
      <w:r w:rsidRPr="00C30130">
        <w:t>мигренозного характера.</w:t>
      </w:r>
    </w:p>
    <w:p w:rsidR="00843E39" w:rsidRPr="00C30130" w:rsidRDefault="00843E39" w:rsidP="005F2175">
      <w:pPr>
        <w:spacing w:line="360" w:lineRule="auto"/>
        <w:jc w:val="both"/>
      </w:pPr>
      <w:r w:rsidRPr="00C30130">
        <w:t>- Кратковременное симп</w:t>
      </w:r>
      <w:r w:rsidR="001F1265" w:rsidRPr="00C30130">
        <w:t xml:space="preserve">томатическое лечение при болях </w:t>
      </w:r>
      <w:r w:rsidRPr="00C30130">
        <w:t>в суставах, невралгии, ишиалгии, миалгии.</w:t>
      </w:r>
    </w:p>
    <w:p w:rsidR="00843E39" w:rsidRPr="00C30130" w:rsidRDefault="00843E39" w:rsidP="005F2175">
      <w:pPr>
        <w:spacing w:line="360" w:lineRule="auto"/>
        <w:jc w:val="both"/>
        <w:rPr>
          <w:b/>
        </w:rPr>
      </w:pPr>
      <w:r w:rsidRPr="00C30130">
        <w:rPr>
          <w:b/>
        </w:rPr>
        <w:t xml:space="preserve">Противопоказания </w:t>
      </w:r>
    </w:p>
    <w:p w:rsidR="00843E39" w:rsidRPr="00C30130" w:rsidRDefault="00843E39" w:rsidP="005F2175">
      <w:pPr>
        <w:spacing w:line="360" w:lineRule="auto"/>
        <w:jc w:val="both"/>
      </w:pPr>
      <w:r w:rsidRPr="00C30130">
        <w:t>Гиперчувствительность к лю</w:t>
      </w:r>
      <w:r w:rsidR="00714F1A" w:rsidRPr="00C30130">
        <w:t xml:space="preserve">бому из ингредиентов, входящих </w:t>
      </w:r>
      <w:r w:rsidRPr="00C30130">
        <w:t xml:space="preserve">в состав препарата; эрозивно-язвенные изменения слизистой оболочки желудка или двенадцатиперстной кишки, активное желудочно-кишечное кровотечение; воспалительные заболевания </w:t>
      </w:r>
      <w:r w:rsidRPr="00C30130">
        <w:lastRenderedPageBreak/>
        <w:t xml:space="preserve">кишечника в фазе обострения, в том числе, язвенный колит; </w:t>
      </w:r>
      <w:proofErr w:type="gramStart"/>
      <w:r w:rsidRPr="00C30130">
        <w:t xml:space="preserve">анамнестические данные о приступе бронхообструкции, ринита, крапивницы, после приема ацетилсалициловой кислоты или иного нестероидного противовоспалительного препарата – НПВП (полный или неполный синдром непереносимости </w:t>
      </w:r>
      <w:r w:rsidR="00E7003A" w:rsidRPr="00C30130">
        <w:t>ац</w:t>
      </w:r>
      <w:r w:rsidR="00BF7955" w:rsidRPr="00C30130">
        <w:t>е</w:t>
      </w:r>
      <w:r w:rsidR="00E7003A" w:rsidRPr="00C30130">
        <w:t xml:space="preserve">тилсалициловой кислоты – </w:t>
      </w:r>
      <w:proofErr w:type="spellStart"/>
      <w:r w:rsidR="00E7003A" w:rsidRPr="00C30130">
        <w:t>риносинусит</w:t>
      </w:r>
      <w:proofErr w:type="spellEnd"/>
      <w:r w:rsidR="00E7003A" w:rsidRPr="00C30130">
        <w:t>, крапивница, полипы слизистой оболочки носа, бронхиальная астма); печеночная недостаточность или активное заболевание печени; почечная недостаточность (клиренс креатинина менее 30 мл/мин), прогрессирующее заболевание почек; подтвержденная гиперкалиемия;</w:t>
      </w:r>
      <w:proofErr w:type="gramEnd"/>
      <w:r w:rsidR="00D45E2E" w:rsidRPr="00C30130">
        <w:t xml:space="preserve"> гемофилия и другие нарушения свертываемости крови в том числе, гипокоагуляция), геморрагические диатезы; период после проведения </w:t>
      </w:r>
      <w:proofErr w:type="gramStart"/>
      <w:r w:rsidR="00D45E2E" w:rsidRPr="00C30130">
        <w:t>аорто-ко</w:t>
      </w:r>
      <w:r w:rsidR="004C4581" w:rsidRPr="00C30130">
        <w:t>ронарного</w:t>
      </w:r>
      <w:proofErr w:type="gramEnd"/>
      <w:r w:rsidR="004C4581" w:rsidRPr="00C30130">
        <w:t xml:space="preserve"> шунтирования; острая </w:t>
      </w:r>
      <w:r w:rsidR="00D45E2E" w:rsidRPr="00C30130">
        <w:t>перемежающаяся порфирия; гранулоцитопения; нарушения кроветворения; дефицит глюкозо-6-фосфатдегидрогеназы</w:t>
      </w:r>
      <w:r w:rsidR="005B7198" w:rsidRPr="00C30130">
        <w:t xml:space="preserve">; тахиаритмия; закрытоугольная </w:t>
      </w:r>
      <w:r w:rsidR="00D45E2E" w:rsidRPr="00C30130">
        <w:t xml:space="preserve">глаукома; заболевания зрительного нерва; гиперплазия предстательной железы; кишечная непроходимость; беременность и период грудного </w:t>
      </w:r>
      <w:r w:rsidR="008A7D27" w:rsidRPr="00C30130">
        <w:t>в</w:t>
      </w:r>
      <w:r w:rsidR="00D45E2E" w:rsidRPr="00C30130">
        <w:t>скармливания, возраст до 16 лет.</w:t>
      </w:r>
    </w:p>
    <w:p w:rsidR="00D45E2E" w:rsidRPr="00C30130" w:rsidRDefault="008A7D27" w:rsidP="005F2175">
      <w:pPr>
        <w:spacing w:line="360" w:lineRule="auto"/>
        <w:jc w:val="both"/>
        <w:rPr>
          <w:b/>
        </w:rPr>
      </w:pPr>
      <w:r w:rsidRPr="00C30130">
        <w:rPr>
          <w:b/>
        </w:rPr>
        <w:t>С осторожностью</w:t>
      </w:r>
    </w:p>
    <w:p w:rsidR="00D45E2E" w:rsidRPr="00C30130" w:rsidRDefault="00DE3924" w:rsidP="005F2175">
      <w:pPr>
        <w:spacing w:line="360" w:lineRule="auto"/>
        <w:jc w:val="both"/>
      </w:pPr>
      <w:proofErr w:type="gramStart"/>
      <w:r w:rsidRPr="00C30130">
        <w:t xml:space="preserve">Пожилой возраст, застойная сердечная недостаточность, </w:t>
      </w:r>
      <w:r w:rsidR="005D3A49" w:rsidRPr="00C30130">
        <w:t xml:space="preserve">цереброваскулярные заболевания, артериальная гипертензия, ишемическая болезнь сердца, дислипидемия / гиперлипидемия, сахарный диабет, заболевания периферических артерий, нефротический синдром, клиренс креатинина менее 30-60 мл/мин, гипербилирубинемия, язвенная болезнь желудка и двенадцатиперстной кишки (в анамнезе), наличие инфекции </w:t>
      </w:r>
      <w:r w:rsidR="005D3A49" w:rsidRPr="00C30130">
        <w:rPr>
          <w:lang w:val="en-US"/>
        </w:rPr>
        <w:t>Helicobacter</w:t>
      </w:r>
      <w:r w:rsidR="005D3A49" w:rsidRPr="00C30130">
        <w:t xml:space="preserve"> </w:t>
      </w:r>
      <w:r w:rsidR="005D3A49" w:rsidRPr="00C30130">
        <w:rPr>
          <w:lang w:val="en-US"/>
        </w:rPr>
        <w:t>pylori</w:t>
      </w:r>
      <w:r w:rsidR="005D3A49" w:rsidRPr="00C30130">
        <w:t xml:space="preserve">, гастрит, энтерит, колит, длительное использование </w:t>
      </w:r>
      <w:r w:rsidR="00F74B06" w:rsidRPr="00C30130">
        <w:t>НПВП, заболевания крови неясной этиологии (лейкопения, анемия), курение, час</w:t>
      </w:r>
      <w:r w:rsidR="00AD31FD" w:rsidRPr="00C30130">
        <w:t>т</w:t>
      </w:r>
      <w:r w:rsidR="00F74B06" w:rsidRPr="00C30130">
        <w:t>ое употребление алкоголя (алкоголизм), тяжелые соматические заболевания</w:t>
      </w:r>
      <w:proofErr w:type="gramEnd"/>
      <w:r w:rsidR="00F74B06" w:rsidRPr="00C30130">
        <w:t>, сопутст</w:t>
      </w:r>
      <w:r w:rsidR="00727C9C" w:rsidRPr="00C30130">
        <w:t>в</w:t>
      </w:r>
      <w:r w:rsidR="00F74B06" w:rsidRPr="00C30130">
        <w:t>ующая терапия следующими п</w:t>
      </w:r>
      <w:r w:rsidR="00727C9C" w:rsidRPr="00C30130">
        <w:t>репарата</w:t>
      </w:r>
      <w:r w:rsidR="00F74B06" w:rsidRPr="00C30130">
        <w:t>ми: антикоагулянты (например, варфарин), антиагреганты (например, ацетилсалициловая кислота, клопидогрел), пероральные глюкокортикостероиды (например, преднизолон), селективные ингибиторы обратного захвата серотонина (например, циталопрам, флуоксетин, пароксетин, сертралин).</w:t>
      </w:r>
    </w:p>
    <w:p w:rsidR="008A7D27" w:rsidRPr="00C30130" w:rsidRDefault="008A7D27" w:rsidP="00DD2DE5">
      <w:pPr>
        <w:spacing w:line="360" w:lineRule="auto"/>
        <w:rPr>
          <w:b/>
        </w:rPr>
      </w:pPr>
      <w:r w:rsidRPr="00C30130">
        <w:rPr>
          <w:b/>
        </w:rPr>
        <w:t>Применение в период беременности и грудного вскармливания</w:t>
      </w:r>
    </w:p>
    <w:p w:rsidR="00674C35" w:rsidRPr="00C30130" w:rsidRDefault="00674C35" w:rsidP="00DD2DE5">
      <w:pPr>
        <w:spacing w:line="360" w:lineRule="auto"/>
        <w:jc w:val="both"/>
      </w:pPr>
      <w:r w:rsidRPr="00C30130">
        <w:rPr>
          <w:color w:val="000000"/>
        </w:rPr>
        <w:t xml:space="preserve">Применение препарата во время беременности противопоказано. При назначении </w:t>
      </w:r>
      <w:r w:rsidR="00DD2DE5" w:rsidRPr="00C30130">
        <w:rPr>
          <w:color w:val="000000"/>
        </w:rPr>
        <w:t>п</w:t>
      </w:r>
      <w:r w:rsidRPr="00C30130">
        <w:rPr>
          <w:color w:val="000000"/>
        </w:rPr>
        <w:t xml:space="preserve">репарата в период </w:t>
      </w:r>
      <w:r w:rsidRPr="00C30130">
        <w:t>грудного вскармливания</w:t>
      </w:r>
      <w:r w:rsidRPr="00C30130">
        <w:rPr>
          <w:color w:val="000000"/>
        </w:rPr>
        <w:t xml:space="preserve"> следует решить вопрос о его прекращении.</w:t>
      </w:r>
    </w:p>
    <w:p w:rsidR="009C7063" w:rsidRPr="00C30130" w:rsidRDefault="008A7D27" w:rsidP="00DD2DE5">
      <w:pPr>
        <w:spacing w:line="360" w:lineRule="auto"/>
        <w:rPr>
          <w:b/>
        </w:rPr>
      </w:pPr>
      <w:r w:rsidRPr="00C30130">
        <w:rPr>
          <w:b/>
        </w:rPr>
        <w:t>Способ применения и дозы</w:t>
      </w:r>
    </w:p>
    <w:p w:rsidR="0080300D" w:rsidRPr="00C30130" w:rsidRDefault="0080300D" w:rsidP="00F2539C">
      <w:pPr>
        <w:spacing w:line="360" w:lineRule="auto"/>
        <w:jc w:val="both"/>
      </w:pPr>
      <w:r w:rsidRPr="00C30130">
        <w:t>Внутрь, за 1 ч до или через 3 ч после е</w:t>
      </w:r>
      <w:r w:rsidR="005B7198" w:rsidRPr="00C30130">
        <w:t xml:space="preserve">ды. Во избежание раздражающего </w:t>
      </w:r>
      <w:r w:rsidRPr="00C30130">
        <w:t>действия на желудок можно принимать препарат сразу после еды или запивать молоком.</w:t>
      </w:r>
    </w:p>
    <w:p w:rsidR="00DE53F4" w:rsidRPr="00C30130" w:rsidRDefault="0080300D" w:rsidP="00F2539C">
      <w:pPr>
        <w:spacing w:line="360" w:lineRule="auto"/>
        <w:jc w:val="both"/>
      </w:pPr>
      <w:r w:rsidRPr="00C30130">
        <w:t xml:space="preserve">При отсутствии особых предписаний врача рекомендуется принимать </w:t>
      </w:r>
      <w:r w:rsidR="00F2539C" w:rsidRPr="00C30130">
        <w:t xml:space="preserve">СПАЗГАН НЕО </w:t>
      </w:r>
      <w:r w:rsidRPr="00C30130">
        <w:t xml:space="preserve">при спастических болях по 1 таблетке до 3-х раз в день. Максимальная суточная доза – </w:t>
      </w:r>
    </w:p>
    <w:p w:rsidR="0080300D" w:rsidRPr="00C30130" w:rsidRDefault="0080300D" w:rsidP="00F2539C">
      <w:pPr>
        <w:spacing w:line="360" w:lineRule="auto"/>
        <w:jc w:val="both"/>
      </w:pPr>
      <w:r w:rsidRPr="00C30130">
        <w:t>3 таблетки.</w:t>
      </w:r>
      <w:r w:rsidR="008215A5" w:rsidRPr="00C30130">
        <w:t xml:space="preserve"> Не пре</w:t>
      </w:r>
      <w:r w:rsidRPr="00C30130">
        <w:t>вышайте указанной дозы!</w:t>
      </w:r>
    </w:p>
    <w:p w:rsidR="005F2175" w:rsidRPr="00C30130" w:rsidRDefault="007A478D" w:rsidP="00F2539C">
      <w:pPr>
        <w:spacing w:line="360" w:lineRule="auto"/>
        <w:jc w:val="both"/>
      </w:pPr>
      <w:r w:rsidRPr="00C30130">
        <w:lastRenderedPageBreak/>
        <w:t xml:space="preserve">Курс лечения препаратом </w:t>
      </w:r>
      <w:r w:rsidR="000419E7" w:rsidRPr="00C30130">
        <w:t>СПАЗГАН НЕО</w:t>
      </w:r>
      <w:r w:rsidRPr="00C30130">
        <w:t xml:space="preserve">, без консультации врача, не должен </w:t>
      </w:r>
      <w:r w:rsidR="005F2175" w:rsidRPr="00C30130">
        <w:t>превышать</w:t>
      </w:r>
      <w:r w:rsidRPr="00C30130">
        <w:t xml:space="preserve"> </w:t>
      </w:r>
    </w:p>
    <w:p w:rsidR="007A478D" w:rsidRPr="00C30130" w:rsidRDefault="007A478D" w:rsidP="00F2539C">
      <w:pPr>
        <w:spacing w:line="360" w:lineRule="auto"/>
        <w:jc w:val="both"/>
      </w:pPr>
      <w:r w:rsidRPr="00C30130">
        <w:t xml:space="preserve">5 дней. Более длительное применение возможно под наблюдением врача с контролем показателей периферической </w:t>
      </w:r>
      <w:r w:rsidR="00345E5D" w:rsidRPr="00C30130">
        <w:t xml:space="preserve">картины </w:t>
      </w:r>
      <w:r w:rsidRPr="00C30130">
        <w:t>крови и функционального состояния печени.</w:t>
      </w:r>
    </w:p>
    <w:p w:rsidR="007A478D" w:rsidRPr="00C30130" w:rsidRDefault="008A7D27" w:rsidP="005F2175">
      <w:pPr>
        <w:spacing w:line="360" w:lineRule="auto"/>
        <w:jc w:val="both"/>
        <w:rPr>
          <w:b/>
        </w:rPr>
      </w:pPr>
      <w:r w:rsidRPr="00C30130">
        <w:rPr>
          <w:b/>
        </w:rPr>
        <w:t>Передозировка</w:t>
      </w:r>
    </w:p>
    <w:p w:rsidR="007A478D" w:rsidRPr="00C30130" w:rsidRDefault="007A478D" w:rsidP="005F2175">
      <w:pPr>
        <w:spacing w:line="360" w:lineRule="auto"/>
        <w:jc w:val="both"/>
      </w:pPr>
      <w:r w:rsidRPr="00C30130">
        <w:t>Не превышайте указанной дозы. Если вы превысили дозу, немедленно обратитесь к врачу или в ближайшее медицинское учреждение. Возьмите с собой упаковку препарата.</w:t>
      </w:r>
    </w:p>
    <w:p w:rsidR="0032057C" w:rsidRPr="00C30130" w:rsidRDefault="0032057C" w:rsidP="005F2175">
      <w:pPr>
        <w:spacing w:line="360" w:lineRule="auto"/>
        <w:jc w:val="both"/>
      </w:pPr>
      <w:r w:rsidRPr="00C30130">
        <w:rPr>
          <w:i/>
        </w:rPr>
        <w:t>Симптомы:</w:t>
      </w:r>
      <w:r w:rsidRPr="00C30130">
        <w:t xml:space="preserve"> боль в животе, тошнота, рвота, заторможенность, сонливость, депрессия, головная боль, шум в ушах, метаболический ацидоз, кома, острая почечная недостаточность, снижение артериального давления, брадикардия, тахикардия, фибрилляция предсердий, </w:t>
      </w:r>
      <w:r w:rsidR="006C50A5" w:rsidRPr="00C30130">
        <w:t>остановка дыхания.</w:t>
      </w:r>
    </w:p>
    <w:p w:rsidR="006C50A5" w:rsidRPr="00C30130" w:rsidRDefault="006C50A5" w:rsidP="005F2175">
      <w:pPr>
        <w:spacing w:line="360" w:lineRule="auto"/>
        <w:jc w:val="both"/>
      </w:pPr>
      <w:r w:rsidRPr="00C30130">
        <w:rPr>
          <w:i/>
        </w:rPr>
        <w:t xml:space="preserve">Лечение: </w:t>
      </w:r>
      <w:r w:rsidRPr="00C30130">
        <w:t>промывание желудка (только в течение часа после приема), активированный уголь, щелочное питье, форсированный диурез, симптоматическая терапия (коррекция кислотно-основного состояния, артериального давления).</w:t>
      </w:r>
      <w:r w:rsidR="003011AA" w:rsidRPr="00C30130">
        <w:t xml:space="preserve"> Специфического антидота нет.</w:t>
      </w:r>
    </w:p>
    <w:p w:rsidR="003011AA" w:rsidRPr="007431AA" w:rsidRDefault="007431AA" w:rsidP="001F6E5F">
      <w:pPr>
        <w:spacing w:line="360" w:lineRule="auto"/>
        <w:rPr>
          <w:b/>
        </w:rPr>
      </w:pPr>
      <w:r>
        <w:rPr>
          <w:b/>
        </w:rPr>
        <w:t>Побочное действие</w:t>
      </w:r>
    </w:p>
    <w:p w:rsidR="007431AA" w:rsidRPr="004A00A0" w:rsidRDefault="000C5482" w:rsidP="001F6E5F">
      <w:pPr>
        <w:autoSpaceDE w:val="0"/>
        <w:autoSpaceDN w:val="0"/>
        <w:adjustRightInd w:val="0"/>
        <w:spacing w:line="360" w:lineRule="auto"/>
        <w:jc w:val="both"/>
      </w:pPr>
      <w:r w:rsidRPr="00C30130">
        <w:t xml:space="preserve">Частота развития </w:t>
      </w:r>
      <w:proofErr w:type="gramStart"/>
      <w:r w:rsidR="007431AA">
        <w:t>нежелательный</w:t>
      </w:r>
      <w:proofErr w:type="gramEnd"/>
      <w:r w:rsidR="007431AA">
        <w:t xml:space="preserve"> реакций</w:t>
      </w:r>
      <w:r w:rsidRPr="00C30130">
        <w:t xml:space="preserve"> классифицирована согласно рекомендациям Всемирной организации здравоохранения: </w:t>
      </w:r>
      <w:r w:rsidR="007431AA" w:rsidRPr="004A00A0">
        <w:t>очень часто (&gt;1/10); часто (≥1/100, &lt;1/10); нечасто (≥1/1,000, &lt;1/100); редко (≥1/10,000, &lt;1/1,000); очень редко (&lt;1/10,000); неизвестно (нельзя оценить на основе доступных данных).</w:t>
      </w:r>
    </w:p>
    <w:p w:rsidR="0052378D" w:rsidRPr="00C30130" w:rsidRDefault="009915AE" w:rsidP="001F6E5F">
      <w:pPr>
        <w:spacing w:line="360" w:lineRule="auto"/>
      </w:pPr>
      <w:r w:rsidRPr="00C30130">
        <w:t xml:space="preserve">В рекомендуемых дозах препарат </w:t>
      </w:r>
      <w:r w:rsidR="006F2344" w:rsidRPr="00C30130">
        <w:t>СПАЗГАН НЕО</w:t>
      </w:r>
      <w:r w:rsidRPr="00C30130">
        <w:t xml:space="preserve"> не вызывает побочных эффектов.</w:t>
      </w:r>
    </w:p>
    <w:p w:rsidR="009915AE" w:rsidRPr="00C30130" w:rsidRDefault="009D62AE" w:rsidP="005F2175">
      <w:pPr>
        <w:spacing w:line="360" w:lineRule="auto"/>
        <w:jc w:val="both"/>
      </w:pPr>
      <w:proofErr w:type="gramStart"/>
      <w:r>
        <w:rPr>
          <w:b/>
          <w:i/>
          <w:iCs/>
        </w:rPr>
        <w:t>Желудочно-кишечные нарушения</w:t>
      </w:r>
      <w:r w:rsidR="00E749A4" w:rsidRPr="00C30130">
        <w:rPr>
          <w:b/>
          <w:i/>
          <w:iCs/>
        </w:rPr>
        <w:t>:</w:t>
      </w:r>
      <w:r w:rsidR="009915AE" w:rsidRPr="00C30130">
        <w:t xml:space="preserve"> </w:t>
      </w:r>
      <w:r w:rsidR="000C5482" w:rsidRPr="00C30130">
        <w:t xml:space="preserve">часто - </w:t>
      </w:r>
      <w:r w:rsidR="009915AE" w:rsidRPr="00C30130">
        <w:t>НПВП-</w:t>
      </w:r>
      <w:proofErr w:type="spellStart"/>
      <w:r w:rsidR="009915AE" w:rsidRPr="00C30130">
        <w:t>гастропатия</w:t>
      </w:r>
      <w:proofErr w:type="spellEnd"/>
      <w:r w:rsidR="009915AE" w:rsidRPr="00C30130">
        <w:t xml:space="preserve"> (абдоминальн</w:t>
      </w:r>
      <w:r w:rsidR="000C5482" w:rsidRPr="00C30130">
        <w:t>ая</w:t>
      </w:r>
      <w:r w:rsidR="009915AE" w:rsidRPr="00C30130">
        <w:t xml:space="preserve"> бол</w:t>
      </w:r>
      <w:r w:rsidR="000C5482" w:rsidRPr="00C30130">
        <w:t>ь</w:t>
      </w:r>
      <w:r w:rsidR="009915AE" w:rsidRPr="00C30130">
        <w:t xml:space="preserve">, тошнота, рвота, изжога, снижение аппетита, диарея, метеоризм, запор; </w:t>
      </w:r>
      <w:r w:rsidR="000C5482" w:rsidRPr="00C30130">
        <w:t xml:space="preserve">нечасто - </w:t>
      </w:r>
      <w:r w:rsidR="009915AE" w:rsidRPr="00C30130">
        <w:t>изъязвления слизистой оболочки желудочно-кишечного тракта, которые, в ряде случаев, осложн</w:t>
      </w:r>
      <w:r w:rsidR="006F2344" w:rsidRPr="00C30130">
        <w:t>яются перфорацией и кровотечени</w:t>
      </w:r>
      <w:r w:rsidR="00BF5A06" w:rsidRPr="00C30130">
        <w:t>ем</w:t>
      </w:r>
      <w:r w:rsidR="009915AE" w:rsidRPr="00C30130">
        <w:t xml:space="preserve">; раздражение и сухость слизистой оболочки ротовой полости, боль во рту, изъязвление слизистой оболочки десен, афтозный стоматит, </w:t>
      </w:r>
      <w:r w:rsidR="000C5482" w:rsidRPr="00C30130">
        <w:t xml:space="preserve">очень редко </w:t>
      </w:r>
      <w:r w:rsidR="00E74DD4" w:rsidRPr="00C30130">
        <w:t>–</w:t>
      </w:r>
      <w:r w:rsidR="000C5482" w:rsidRPr="00C30130">
        <w:t xml:space="preserve"> </w:t>
      </w:r>
      <w:r w:rsidR="009915AE" w:rsidRPr="00C30130">
        <w:t>панкреатит</w:t>
      </w:r>
      <w:r w:rsidR="00E74DD4" w:rsidRPr="00C30130">
        <w:t xml:space="preserve">, </w:t>
      </w:r>
      <w:r w:rsidR="009915AE" w:rsidRPr="00C30130">
        <w:t>гепатит</w:t>
      </w:r>
      <w:r w:rsidR="000C5482" w:rsidRPr="00C30130">
        <w:t>, нарушение функции печени, гепатотоксичность</w:t>
      </w:r>
      <w:r w:rsidR="009915AE" w:rsidRPr="00C30130">
        <w:t>.</w:t>
      </w:r>
      <w:proofErr w:type="gramEnd"/>
    </w:p>
    <w:p w:rsidR="009915AE" w:rsidRPr="00C30130" w:rsidRDefault="00E8239B" w:rsidP="005F2175">
      <w:pPr>
        <w:spacing w:line="360" w:lineRule="auto"/>
        <w:jc w:val="both"/>
      </w:pPr>
      <w:r>
        <w:rPr>
          <w:b/>
          <w:i/>
        </w:rPr>
        <w:t>Нарушения с</w:t>
      </w:r>
      <w:r w:rsidR="009915AE" w:rsidRPr="00C30130">
        <w:rPr>
          <w:b/>
          <w:i/>
        </w:rPr>
        <w:t xml:space="preserve">о стороны </w:t>
      </w:r>
      <w:r w:rsidR="007431AA" w:rsidRPr="001F6E5F">
        <w:rPr>
          <w:b/>
          <w:i/>
        </w:rPr>
        <w:t>дыхательной системы, органов грудной клетки и средостения</w:t>
      </w:r>
      <w:r w:rsidR="009915AE" w:rsidRPr="00C30130">
        <w:rPr>
          <w:b/>
          <w:i/>
        </w:rPr>
        <w:t>:</w:t>
      </w:r>
      <w:r w:rsidR="009915AE" w:rsidRPr="00C30130">
        <w:rPr>
          <w:b/>
        </w:rPr>
        <w:t xml:space="preserve"> </w:t>
      </w:r>
      <w:r w:rsidR="009915AE" w:rsidRPr="00C30130">
        <w:t xml:space="preserve"> </w:t>
      </w:r>
      <w:r w:rsidR="003F4C90" w:rsidRPr="00C30130">
        <w:t xml:space="preserve">редко - </w:t>
      </w:r>
      <w:r w:rsidR="008F7C22" w:rsidRPr="00C30130">
        <w:t>одышка</w:t>
      </w:r>
      <w:r w:rsidR="003F4C90" w:rsidRPr="00C30130">
        <w:t xml:space="preserve">, </w:t>
      </w:r>
      <w:r w:rsidR="008F7C22" w:rsidRPr="00C30130">
        <w:t>бронхоспазм.</w:t>
      </w:r>
    </w:p>
    <w:p w:rsidR="00E8239B" w:rsidRDefault="00E8239B" w:rsidP="005F2175">
      <w:pPr>
        <w:spacing w:line="360" w:lineRule="auto"/>
        <w:jc w:val="both"/>
      </w:pPr>
      <w:r>
        <w:rPr>
          <w:b/>
          <w:i/>
        </w:rPr>
        <w:t>Нарушения с</w:t>
      </w:r>
      <w:r w:rsidR="008F7C22" w:rsidRPr="00C30130">
        <w:rPr>
          <w:b/>
          <w:i/>
        </w:rPr>
        <w:t>о стороны</w:t>
      </w:r>
      <w:r w:rsidRPr="00E8239B">
        <w:rPr>
          <w:i/>
        </w:rPr>
        <w:t xml:space="preserve"> </w:t>
      </w:r>
      <w:r w:rsidRPr="001F6E5F">
        <w:rPr>
          <w:b/>
          <w:i/>
        </w:rPr>
        <w:t>органа слуха и лабиринт</w:t>
      </w:r>
      <w:r w:rsidR="00564A2F">
        <w:rPr>
          <w:b/>
          <w:i/>
        </w:rPr>
        <w:t>а</w:t>
      </w:r>
      <w:r w:rsidR="008F7C22" w:rsidRPr="00C30130">
        <w:rPr>
          <w:b/>
          <w:i/>
        </w:rPr>
        <w:t>:</w:t>
      </w:r>
      <w:r w:rsidR="008F7C22" w:rsidRPr="00C30130">
        <w:t xml:space="preserve"> </w:t>
      </w:r>
      <w:r w:rsidR="003F4C90" w:rsidRPr="00C30130">
        <w:t xml:space="preserve">редко - </w:t>
      </w:r>
      <w:r w:rsidR="008F7C22" w:rsidRPr="00C30130">
        <w:t>снижение слуха, звон или шум в ушах</w:t>
      </w:r>
      <w:r>
        <w:t>.</w:t>
      </w:r>
      <w:r w:rsidRPr="00C30130">
        <w:t xml:space="preserve"> </w:t>
      </w:r>
    </w:p>
    <w:p w:rsidR="008F7C22" w:rsidRPr="00C30130" w:rsidRDefault="00E8239B" w:rsidP="005F2175">
      <w:pPr>
        <w:spacing w:line="360" w:lineRule="auto"/>
        <w:jc w:val="both"/>
      </w:pPr>
      <w:r w:rsidRPr="001F6E5F">
        <w:rPr>
          <w:b/>
          <w:i/>
        </w:rPr>
        <w:t>Нарушения со стороны органа зрения</w:t>
      </w:r>
      <w:r w:rsidR="008F7C22" w:rsidRPr="001F6E5F">
        <w:rPr>
          <w:b/>
        </w:rPr>
        <w:t>:</w:t>
      </w:r>
      <w:r w:rsidR="008F7C22" w:rsidRPr="00C30130">
        <w:t xml:space="preserve"> </w:t>
      </w:r>
      <w:r w:rsidR="003F4C90" w:rsidRPr="00C30130">
        <w:t xml:space="preserve">нечасто - </w:t>
      </w:r>
      <w:r w:rsidR="008F7C22" w:rsidRPr="00C30130">
        <w:t>нечеткость зрительного восприятия, скотома, сухость и раздражение глаза, отек конъюнктивы и век (аллергического генеза),</w:t>
      </w:r>
      <w:r w:rsidR="003F4C90" w:rsidRPr="00C30130">
        <w:t xml:space="preserve"> амблиопия,</w:t>
      </w:r>
      <w:r w:rsidR="008F7C22" w:rsidRPr="00C30130">
        <w:t xml:space="preserve"> </w:t>
      </w:r>
      <w:r w:rsidR="003F4C90" w:rsidRPr="00C30130">
        <w:t xml:space="preserve">очень редко - </w:t>
      </w:r>
      <w:r w:rsidR="008F7C22" w:rsidRPr="00C30130">
        <w:t>парез аккомодации</w:t>
      </w:r>
      <w:r w:rsidR="003F4C90" w:rsidRPr="00C30130">
        <w:t>, токсическое поражение зрительного нерва</w:t>
      </w:r>
      <w:r w:rsidR="008F7C22" w:rsidRPr="00C30130">
        <w:t>.</w:t>
      </w:r>
    </w:p>
    <w:p w:rsidR="008F7C22" w:rsidRPr="00C30130" w:rsidRDefault="00E8239B" w:rsidP="005F2175">
      <w:pPr>
        <w:spacing w:line="360" w:lineRule="auto"/>
        <w:jc w:val="both"/>
      </w:pPr>
      <w:proofErr w:type="gramStart"/>
      <w:r>
        <w:rPr>
          <w:b/>
          <w:i/>
        </w:rPr>
        <w:t>Нарушения с</w:t>
      </w:r>
      <w:r w:rsidR="008F7C22" w:rsidRPr="00C30130">
        <w:rPr>
          <w:b/>
          <w:i/>
        </w:rPr>
        <w:t>о стороны нервной системы:</w:t>
      </w:r>
      <w:r w:rsidR="008F7C22" w:rsidRPr="00C30130">
        <w:t xml:space="preserve"> </w:t>
      </w:r>
      <w:r w:rsidR="003F4C90" w:rsidRPr="00C30130">
        <w:t xml:space="preserve">нечасто - </w:t>
      </w:r>
      <w:r w:rsidR="008F7C22" w:rsidRPr="00C30130">
        <w:t xml:space="preserve">головная боль, головокружение, бессонница, тревожность, нервозность и раздражительность, психомоторное возбуждение, </w:t>
      </w:r>
      <w:r w:rsidR="008F7C22" w:rsidRPr="00C30130">
        <w:lastRenderedPageBreak/>
        <w:t xml:space="preserve">сонливость, депрессия, </w:t>
      </w:r>
      <w:r w:rsidR="003F4C90" w:rsidRPr="00C30130">
        <w:t xml:space="preserve">очень редко - </w:t>
      </w:r>
      <w:r w:rsidR="008F7C22" w:rsidRPr="00C30130">
        <w:t>спутанность сознания, галлюцинации, асептический менингит (чаще у пациентов с аутоиммунными заболеваниями).</w:t>
      </w:r>
      <w:proofErr w:type="gramEnd"/>
    </w:p>
    <w:p w:rsidR="008F7C22" w:rsidRDefault="00E8239B" w:rsidP="005F2175">
      <w:pPr>
        <w:spacing w:line="360" w:lineRule="auto"/>
        <w:jc w:val="both"/>
      </w:pPr>
      <w:r>
        <w:rPr>
          <w:b/>
          <w:i/>
        </w:rPr>
        <w:t>Нарушения с</w:t>
      </w:r>
      <w:r w:rsidR="008F7C22" w:rsidRPr="00C30130">
        <w:rPr>
          <w:b/>
          <w:i/>
        </w:rPr>
        <w:t xml:space="preserve">о стороны </w:t>
      </w:r>
      <w:r>
        <w:rPr>
          <w:b/>
          <w:i/>
        </w:rPr>
        <w:t>сердца</w:t>
      </w:r>
      <w:r w:rsidR="008F7C22" w:rsidRPr="00C30130">
        <w:rPr>
          <w:b/>
          <w:i/>
        </w:rPr>
        <w:t>:</w:t>
      </w:r>
      <w:r w:rsidR="008F7C22" w:rsidRPr="00C30130">
        <w:t xml:space="preserve"> </w:t>
      </w:r>
      <w:r w:rsidR="003F4C90" w:rsidRPr="00C30130">
        <w:t xml:space="preserve">нечасто - тахикардия, редко - </w:t>
      </w:r>
      <w:r w:rsidR="008F7C22" w:rsidRPr="00C30130">
        <w:t>сердечная недостаточность.</w:t>
      </w:r>
    </w:p>
    <w:p w:rsidR="00E8239B" w:rsidRPr="001F6E5F" w:rsidRDefault="00E8239B" w:rsidP="005F2175">
      <w:pPr>
        <w:spacing w:line="360" w:lineRule="auto"/>
        <w:jc w:val="both"/>
        <w:rPr>
          <w:i/>
        </w:rPr>
      </w:pPr>
      <w:r w:rsidRPr="001F6E5F">
        <w:rPr>
          <w:b/>
          <w:i/>
        </w:rPr>
        <w:t>Нарушения со стороны сосудов:</w:t>
      </w:r>
      <w:r w:rsidRPr="00E8239B">
        <w:t xml:space="preserve"> </w:t>
      </w:r>
      <w:r w:rsidRPr="00C30130">
        <w:t>нечасто - п</w:t>
      </w:r>
      <w:r>
        <w:t>овышение артериального давления.</w:t>
      </w:r>
    </w:p>
    <w:p w:rsidR="008F7C22" w:rsidRPr="00C30130" w:rsidRDefault="00E8239B" w:rsidP="005F2175">
      <w:pPr>
        <w:spacing w:line="360" w:lineRule="auto"/>
        <w:jc w:val="both"/>
      </w:pPr>
      <w:r>
        <w:rPr>
          <w:b/>
          <w:i/>
        </w:rPr>
        <w:t>Нарушения с</w:t>
      </w:r>
      <w:r w:rsidR="008F7C22" w:rsidRPr="00C30130">
        <w:rPr>
          <w:b/>
          <w:i/>
        </w:rPr>
        <w:t xml:space="preserve">о стороны </w:t>
      </w:r>
      <w:r w:rsidRPr="001F6E5F">
        <w:rPr>
          <w:b/>
          <w:i/>
        </w:rPr>
        <w:t>почек и мочевыводящих путей</w:t>
      </w:r>
      <w:r w:rsidR="008F7C22" w:rsidRPr="00C30130">
        <w:rPr>
          <w:b/>
          <w:i/>
        </w:rPr>
        <w:t>:</w:t>
      </w:r>
      <w:r w:rsidR="00F4376B" w:rsidRPr="00C30130">
        <w:t xml:space="preserve"> </w:t>
      </w:r>
      <w:r w:rsidR="00674C35" w:rsidRPr="00C30130">
        <w:t>нечасто</w:t>
      </w:r>
      <w:r w:rsidR="003F4C90" w:rsidRPr="00C30130">
        <w:t xml:space="preserve"> - нефротический синдром (отеки), олигурия, анурия, полиурия, протеинурия, цистит, окрашивание мочи в красный цвет</w:t>
      </w:r>
      <w:r w:rsidR="00674C35" w:rsidRPr="00C30130">
        <w:t>;</w:t>
      </w:r>
      <w:r w:rsidR="003F4C90" w:rsidRPr="00C30130">
        <w:t xml:space="preserve"> </w:t>
      </w:r>
      <w:r w:rsidR="00674C35" w:rsidRPr="00C30130">
        <w:t xml:space="preserve">редко - </w:t>
      </w:r>
      <w:r w:rsidR="00F4376B" w:rsidRPr="00C30130">
        <w:t>острая почечная недостаточность, аллергическ</w:t>
      </w:r>
      <w:r w:rsidR="00E74DD4" w:rsidRPr="00C30130">
        <w:t>ий нефрит</w:t>
      </w:r>
      <w:r w:rsidR="00F4376B" w:rsidRPr="00C30130">
        <w:t>.</w:t>
      </w:r>
    </w:p>
    <w:p w:rsidR="00F4376B" w:rsidRPr="00C30130" w:rsidRDefault="00E76FD2" w:rsidP="005F2175">
      <w:pPr>
        <w:spacing w:line="360" w:lineRule="auto"/>
        <w:jc w:val="both"/>
      </w:pPr>
      <w:r w:rsidRPr="001F6E5F">
        <w:rPr>
          <w:b/>
          <w:i/>
        </w:rPr>
        <w:t>Нарушения со стороны кожи и подкожн</w:t>
      </w:r>
      <w:r w:rsidR="00343FBD">
        <w:rPr>
          <w:b/>
          <w:i/>
        </w:rPr>
        <w:t>ой клетчатки</w:t>
      </w:r>
      <w:r w:rsidR="00F4376B" w:rsidRPr="001F6E5F">
        <w:rPr>
          <w:b/>
        </w:rPr>
        <w:t>:</w:t>
      </w:r>
      <w:r w:rsidR="00F4376B" w:rsidRPr="00C30130">
        <w:t xml:space="preserve"> </w:t>
      </w:r>
      <w:r w:rsidR="00674C35" w:rsidRPr="00C30130">
        <w:t xml:space="preserve">нечасто - </w:t>
      </w:r>
      <w:r w:rsidR="00F4376B" w:rsidRPr="00C30130">
        <w:t xml:space="preserve">кожная сыпь (обычно эритематозная или крапивница), кожный зуд, </w:t>
      </w:r>
      <w:r w:rsidR="00674C35" w:rsidRPr="00C30130">
        <w:t xml:space="preserve">очень редко - </w:t>
      </w:r>
      <w:r w:rsidR="00F4376B" w:rsidRPr="00C30130">
        <w:t xml:space="preserve">отек Квинке, анафилактоидные реакции, анафилактический шок, бронхоспазм или </w:t>
      </w:r>
      <w:r w:rsidR="00CA3A5B" w:rsidRPr="00C30130">
        <w:t>диспноэ, лихорадка, многоформная экссудативная эритема (в том числе, синдром Стивенса-Джонсона)</w:t>
      </w:r>
      <w:r w:rsidR="002C4B32" w:rsidRPr="00C30130">
        <w:t>,</w:t>
      </w:r>
      <w:r w:rsidR="00CA3A5B" w:rsidRPr="00C30130">
        <w:t xml:space="preserve"> токсический эпидермальный некролиз (синдром Лайела), аллергический ринит</w:t>
      </w:r>
      <w:r w:rsidR="00364912">
        <w:t xml:space="preserve">; </w:t>
      </w:r>
      <w:r w:rsidR="00364912" w:rsidRPr="00C30130">
        <w:t>очень редко - усиление или снижение потоотделения.</w:t>
      </w:r>
    </w:p>
    <w:p w:rsidR="00CA3A5B" w:rsidRPr="00C30130" w:rsidRDefault="00795556" w:rsidP="005F2175">
      <w:pPr>
        <w:spacing w:line="360" w:lineRule="auto"/>
        <w:jc w:val="both"/>
      </w:pPr>
      <w:r>
        <w:rPr>
          <w:b/>
          <w:i/>
        </w:rPr>
        <w:t>Нарушения с</w:t>
      </w:r>
      <w:r w:rsidR="00CA3A5B" w:rsidRPr="00C30130">
        <w:rPr>
          <w:b/>
          <w:i/>
        </w:rPr>
        <w:t xml:space="preserve">о стороны </w:t>
      </w:r>
      <w:r w:rsidRPr="001F6E5F">
        <w:rPr>
          <w:b/>
          <w:i/>
        </w:rPr>
        <w:t>крови и лимфатической системы</w:t>
      </w:r>
      <w:r w:rsidR="00CA3A5B" w:rsidRPr="00C30130">
        <w:rPr>
          <w:b/>
          <w:i/>
        </w:rPr>
        <w:t>:</w:t>
      </w:r>
      <w:r w:rsidR="00CA3A5B" w:rsidRPr="00C30130">
        <w:t xml:space="preserve"> </w:t>
      </w:r>
      <w:r w:rsidR="00674C35" w:rsidRPr="00C30130">
        <w:t>нечасто - тромбоцитопения и</w:t>
      </w:r>
      <w:r w:rsidR="009A2B53" w:rsidRPr="00C30130">
        <w:t xml:space="preserve"> тромбоцитопеническая пурпура, </w:t>
      </w:r>
      <w:r w:rsidR="00674C35" w:rsidRPr="00C30130">
        <w:t xml:space="preserve">очень редко - </w:t>
      </w:r>
      <w:r w:rsidR="00CA3A5B" w:rsidRPr="00C30130">
        <w:t>анемия (в том числе, гемолитическая, апластическая), агранулоцитоз, лейкопения</w:t>
      </w:r>
      <w:r w:rsidR="00674C35" w:rsidRPr="00C30130">
        <w:t>, эозинофилия</w:t>
      </w:r>
      <w:r w:rsidR="00CA3A5B" w:rsidRPr="00C30130">
        <w:t>.</w:t>
      </w:r>
    </w:p>
    <w:p w:rsidR="00F6481D" w:rsidRPr="00C30130" w:rsidRDefault="006407F7" w:rsidP="005F2175">
      <w:pPr>
        <w:spacing w:line="360" w:lineRule="auto"/>
        <w:jc w:val="both"/>
      </w:pPr>
      <w:r>
        <w:rPr>
          <w:b/>
          <w:i/>
        </w:rPr>
        <w:t>Лабораторные и инструментальные данные</w:t>
      </w:r>
      <w:r w:rsidR="00F6481D" w:rsidRPr="00C30130">
        <w:rPr>
          <w:b/>
          <w:i/>
        </w:rPr>
        <w:t>:</w:t>
      </w:r>
      <w:r w:rsidR="00F6481D" w:rsidRPr="00C30130">
        <w:t xml:space="preserve"> время кровотечения (может увеличиваться),  концентрация глюкозы в сыворотке  (может снижаться), клиренс креатинина (может уменьшаться), гематокрит или гемоглобин (могут уменьшаться), сывороточная концентрация креатинина (может увеличиваться)</w:t>
      </w:r>
      <w:r w:rsidR="00651499" w:rsidRPr="00C30130">
        <w:t>,</w:t>
      </w:r>
      <w:r w:rsidR="00F6481D" w:rsidRPr="00C30130">
        <w:t xml:space="preserve"> активность «</w:t>
      </w:r>
      <w:proofErr w:type="gramStart"/>
      <w:r w:rsidR="00F6481D" w:rsidRPr="00C30130">
        <w:t>печеночных</w:t>
      </w:r>
      <w:proofErr w:type="gramEnd"/>
      <w:r w:rsidR="00F6481D" w:rsidRPr="00C30130">
        <w:t xml:space="preserve"> трансаминаз (может повышаться).</w:t>
      </w:r>
    </w:p>
    <w:p w:rsidR="00F6481D" w:rsidRPr="00C30130" w:rsidRDefault="00F6481D" w:rsidP="005F2175">
      <w:pPr>
        <w:spacing w:line="360" w:lineRule="auto"/>
        <w:jc w:val="both"/>
      </w:pPr>
      <w:r w:rsidRPr="00C30130">
        <w:t>Если прием препарата вызвал изменение вашего обычного состояния, прекратите его принимать и немедленно обратитесь к врачу.</w:t>
      </w:r>
    </w:p>
    <w:p w:rsidR="004207E5" w:rsidRPr="00C30130" w:rsidRDefault="008A7D27" w:rsidP="005F2175">
      <w:pPr>
        <w:spacing w:line="360" w:lineRule="auto"/>
        <w:jc w:val="both"/>
        <w:rPr>
          <w:b/>
        </w:rPr>
      </w:pPr>
      <w:r w:rsidRPr="00C30130">
        <w:rPr>
          <w:b/>
        </w:rPr>
        <w:t>Взаимодействие с другими лекарственными средствами</w:t>
      </w:r>
    </w:p>
    <w:p w:rsidR="004207E5" w:rsidRPr="00C30130" w:rsidRDefault="00BA6A66" w:rsidP="005F2175">
      <w:pPr>
        <w:spacing w:line="360" w:lineRule="auto"/>
        <w:jc w:val="both"/>
      </w:pPr>
      <w:r w:rsidRPr="00C30130">
        <w:t xml:space="preserve">В терапевтических дозах препарат </w:t>
      </w:r>
      <w:r w:rsidR="009D0E4A" w:rsidRPr="00C30130">
        <w:t>СПАЗГАН НЕО</w:t>
      </w:r>
      <w:r w:rsidR="002820EC" w:rsidRPr="00C30130">
        <w:rPr>
          <w:vertAlign w:val="superscript"/>
        </w:rPr>
        <w:t xml:space="preserve"> </w:t>
      </w:r>
      <w:r w:rsidRPr="00C30130">
        <w:t xml:space="preserve"> не вступает в значимые взаимодействия с широко применяемыми препаратами.</w:t>
      </w:r>
    </w:p>
    <w:p w:rsidR="00BA6A66" w:rsidRPr="00C30130" w:rsidRDefault="00BA6A66" w:rsidP="005F2175">
      <w:pPr>
        <w:spacing w:line="360" w:lineRule="auto"/>
        <w:jc w:val="both"/>
      </w:pPr>
      <w:r w:rsidRPr="00C30130">
        <w:t>Индукторы ферментов микросомального окисления в печени (фенитоин, эт</w:t>
      </w:r>
      <w:r w:rsidR="006B1343" w:rsidRPr="00C30130">
        <w:t xml:space="preserve">анол, барбитураты, флумецинол, </w:t>
      </w:r>
      <w:r w:rsidRPr="00C30130">
        <w:t>рифампицин, фенилбутазон, т</w:t>
      </w:r>
      <w:r w:rsidR="006B1343" w:rsidRPr="00C30130">
        <w:t xml:space="preserve">рициклические антидепрессанты) </w:t>
      </w:r>
      <w:r w:rsidRPr="00C30130">
        <w:t>увеличивают продукцию гидроксилированных активных метаболитов, повышая риск развития тяжелых интоксикаций.</w:t>
      </w:r>
    </w:p>
    <w:p w:rsidR="00BA6A66" w:rsidRPr="00C30130" w:rsidRDefault="00BA6A66" w:rsidP="005F2175">
      <w:pPr>
        <w:spacing w:line="360" w:lineRule="auto"/>
        <w:jc w:val="both"/>
      </w:pPr>
      <w:r w:rsidRPr="00C30130">
        <w:t>Ингибиторы микросомального окисления снижают риск развития гепатотоксического действия.</w:t>
      </w:r>
    </w:p>
    <w:p w:rsidR="00BA6A66" w:rsidRPr="00C30130" w:rsidRDefault="00BA6A66" w:rsidP="005F2175">
      <w:pPr>
        <w:spacing w:line="360" w:lineRule="auto"/>
        <w:jc w:val="both"/>
      </w:pPr>
      <w:r w:rsidRPr="00C30130">
        <w:t>Снижает гипотензивную активность вазодилататоров и натрийуретический эффект фуросемида и гидрохлоротиазида.</w:t>
      </w:r>
    </w:p>
    <w:p w:rsidR="00BA6A66" w:rsidRPr="00C30130" w:rsidRDefault="00BA6A66" w:rsidP="005F2175">
      <w:pPr>
        <w:spacing w:line="360" w:lineRule="auto"/>
        <w:jc w:val="both"/>
      </w:pPr>
      <w:r w:rsidRPr="00C30130">
        <w:lastRenderedPageBreak/>
        <w:t>Снижает</w:t>
      </w:r>
      <w:r w:rsidR="006B1343" w:rsidRPr="00C30130">
        <w:t xml:space="preserve"> эффективность урикозурических </w:t>
      </w:r>
      <w:r w:rsidRPr="00C30130">
        <w:t>препаратов. Усиливает действие непрямых антикоагулянтов, антиагрегантов, фибринолитиков (что повышает риск развития кровотечений).</w:t>
      </w:r>
    </w:p>
    <w:p w:rsidR="00BA6A66" w:rsidRPr="00C30130" w:rsidRDefault="00BA6A66" w:rsidP="005F2175">
      <w:pPr>
        <w:spacing w:line="360" w:lineRule="auto"/>
        <w:jc w:val="both"/>
      </w:pPr>
      <w:r w:rsidRPr="00C30130">
        <w:t>Усиливает побочные эффекты минералокортикостероидов, глюкокортикостероидов (повышается</w:t>
      </w:r>
      <w:r w:rsidR="006B1343" w:rsidRPr="00C30130">
        <w:t xml:space="preserve"> опасность желудочно-кишечного </w:t>
      </w:r>
      <w:r w:rsidRPr="00C30130">
        <w:t>кровотечения), эстрогенов, этанола</w:t>
      </w:r>
      <w:r w:rsidR="00930D61" w:rsidRPr="00C30130">
        <w:t>.</w:t>
      </w:r>
      <w:r w:rsidRPr="00C30130">
        <w:t xml:space="preserve"> </w:t>
      </w:r>
      <w:r w:rsidR="00930D61" w:rsidRPr="00C30130">
        <w:t>При одновременном применении препарата с гипогликемическими средствами для приема внутрь может усиливать их действие, тем самым способствуя риску возникновения гипогликемии.</w:t>
      </w:r>
    </w:p>
    <w:p w:rsidR="00BA6A66" w:rsidRPr="00C30130" w:rsidRDefault="007960CF" w:rsidP="005F2175">
      <w:pPr>
        <w:spacing w:line="360" w:lineRule="auto"/>
        <w:jc w:val="both"/>
      </w:pPr>
      <w:r w:rsidRPr="00C30130">
        <w:t>Антациды и колестирамин снижают абсорбцию ибупрофена.</w:t>
      </w:r>
    </w:p>
    <w:p w:rsidR="007960CF" w:rsidRPr="00C30130" w:rsidRDefault="007960CF" w:rsidP="005F2175">
      <w:pPr>
        <w:spacing w:line="360" w:lineRule="auto"/>
        <w:jc w:val="both"/>
      </w:pPr>
      <w:r w:rsidRPr="00C30130">
        <w:t>Увеличивает концентрацию в крови дигоксина, препаратов лития и метотре</w:t>
      </w:r>
      <w:r w:rsidR="00AB427F" w:rsidRPr="00C30130">
        <w:t>к</w:t>
      </w:r>
      <w:r w:rsidRPr="00C30130">
        <w:t>сата.</w:t>
      </w:r>
    </w:p>
    <w:p w:rsidR="007960CF" w:rsidRPr="00C30130" w:rsidRDefault="007960CF" w:rsidP="005F2175">
      <w:pPr>
        <w:spacing w:line="360" w:lineRule="auto"/>
        <w:jc w:val="both"/>
      </w:pPr>
      <w:r w:rsidRPr="00C30130">
        <w:t>Усиливает действие М-холиноблокаторов, Н1-гистаминоблокаторов, бутирофенонов, фенотиазинов, амантадина и хинидина.</w:t>
      </w:r>
    </w:p>
    <w:p w:rsidR="004978BD" w:rsidRPr="00C30130" w:rsidRDefault="004978BD" w:rsidP="005F2175">
      <w:pPr>
        <w:spacing w:line="360" w:lineRule="auto"/>
        <w:jc w:val="both"/>
      </w:pPr>
      <w:r w:rsidRPr="00C30130">
        <w:t>Одновременное назначение других НПВП повышает частоту побочных эффектов.</w:t>
      </w:r>
    </w:p>
    <w:p w:rsidR="004978BD" w:rsidRPr="00C30130" w:rsidRDefault="004978BD" w:rsidP="005F2175">
      <w:pPr>
        <w:spacing w:line="360" w:lineRule="auto"/>
        <w:jc w:val="both"/>
      </w:pPr>
      <w:r w:rsidRPr="00C30130">
        <w:t>Кофеин усиливает анальгезирующий (обезболивающий) эффект.</w:t>
      </w:r>
    </w:p>
    <w:p w:rsidR="004978BD" w:rsidRPr="00C30130" w:rsidRDefault="004978BD" w:rsidP="005F2175">
      <w:pPr>
        <w:spacing w:line="360" w:lineRule="auto"/>
        <w:jc w:val="both"/>
      </w:pPr>
      <w:proofErr w:type="gramStart"/>
      <w:r w:rsidRPr="00C30130">
        <w:t>При одновременном назначении снижает противовосп</w:t>
      </w:r>
      <w:r w:rsidR="003626A0" w:rsidRPr="00C30130">
        <w:t>а</w:t>
      </w:r>
      <w:r w:rsidRPr="00C30130">
        <w:t xml:space="preserve">лительное и антиагрегантное действие ацетилсалициловой кислоты (возможно повышение частоты развития острой коронарной недостаточности у больных, получающих в качестве </w:t>
      </w:r>
      <w:r w:rsidR="00EF77B7" w:rsidRPr="00C30130">
        <w:t xml:space="preserve">антиагрегантного средства малые дозы ацетилсалициловой кислоты, после начала приема препарата </w:t>
      </w:r>
      <w:r w:rsidR="00B256A1" w:rsidRPr="00C30130">
        <w:t>СПАЗГАН НЕО</w:t>
      </w:r>
      <w:r w:rsidR="00EF77B7" w:rsidRPr="00C30130">
        <w:t>.</w:t>
      </w:r>
      <w:proofErr w:type="gramEnd"/>
    </w:p>
    <w:p w:rsidR="00EF77B7" w:rsidRPr="00C30130" w:rsidRDefault="00EF77B7" w:rsidP="005F2175">
      <w:pPr>
        <w:spacing w:line="360" w:lineRule="auto"/>
        <w:jc w:val="both"/>
      </w:pPr>
      <w:r w:rsidRPr="00C30130">
        <w:t>Цефамандол, цефоперазон, цефотетан, вальпроевая кислота, пликамицин увеличивают частоту развития гипопротромбинемии при одновременном назначении.</w:t>
      </w:r>
    </w:p>
    <w:p w:rsidR="00EF77B7" w:rsidRPr="00C30130" w:rsidRDefault="00EF77B7" w:rsidP="005F2175">
      <w:pPr>
        <w:spacing w:line="360" w:lineRule="auto"/>
        <w:jc w:val="both"/>
      </w:pPr>
      <w:r w:rsidRPr="00C30130">
        <w:t>Миелотоксические лекарственные средства усиливают проявления гематотоксичности препарата.</w:t>
      </w:r>
    </w:p>
    <w:p w:rsidR="00EF77B7" w:rsidRPr="00C30130" w:rsidRDefault="00EF77B7" w:rsidP="005F2175">
      <w:pPr>
        <w:spacing w:line="360" w:lineRule="auto"/>
        <w:jc w:val="both"/>
      </w:pPr>
      <w:r w:rsidRPr="00C30130">
        <w:t>Циклоспорин и препараты золота усиливаю</w:t>
      </w:r>
      <w:r w:rsidR="006B1343" w:rsidRPr="00C30130">
        <w:t xml:space="preserve">т влияние ибупрофена на синтез </w:t>
      </w:r>
      <w:r w:rsidRPr="00C30130">
        <w:t>простагландинов в почках, что проявляется повышением нефротоксичности.</w:t>
      </w:r>
      <w:r w:rsidR="006B1343" w:rsidRPr="00C30130">
        <w:t xml:space="preserve"> </w:t>
      </w:r>
      <w:r w:rsidRPr="00C30130">
        <w:t>Ибупрофен по</w:t>
      </w:r>
      <w:r w:rsidR="006B1343" w:rsidRPr="00C30130">
        <w:t xml:space="preserve">вышает плазменную </w:t>
      </w:r>
      <w:r w:rsidRPr="00C30130">
        <w:t xml:space="preserve">концентрацию циклоспорина и вероятность развития его </w:t>
      </w:r>
      <w:r w:rsidR="009F3C23" w:rsidRPr="00C30130">
        <w:t>гепатотоксических эффектов.</w:t>
      </w:r>
    </w:p>
    <w:p w:rsidR="009F3C23" w:rsidRPr="00C30130" w:rsidRDefault="009F3C23" w:rsidP="005F2175">
      <w:pPr>
        <w:spacing w:line="360" w:lineRule="auto"/>
        <w:jc w:val="both"/>
      </w:pPr>
      <w:r w:rsidRPr="00C30130">
        <w:t>Лекарственные средства, блокирующие канальцевую секрецию, снижают выведение и повышают плазменную концентрацию ибупрофена.</w:t>
      </w:r>
    </w:p>
    <w:p w:rsidR="009F3C23" w:rsidRPr="00C30130" w:rsidRDefault="009F3C23" w:rsidP="005F2175">
      <w:pPr>
        <w:spacing w:line="360" w:lineRule="auto"/>
        <w:jc w:val="both"/>
        <w:rPr>
          <w:b/>
        </w:rPr>
      </w:pPr>
      <w:r w:rsidRPr="00C30130">
        <w:rPr>
          <w:b/>
        </w:rPr>
        <w:t>Особые указания</w:t>
      </w:r>
    </w:p>
    <w:p w:rsidR="009F3C23" w:rsidRPr="00C30130" w:rsidRDefault="009F3C23" w:rsidP="005F2175">
      <w:pPr>
        <w:spacing w:line="360" w:lineRule="auto"/>
        <w:jc w:val="both"/>
      </w:pPr>
      <w:r w:rsidRPr="00C30130">
        <w:t>При длительном применении необходим контроль картины периферической крови и функционального состояния печени и почек.</w:t>
      </w:r>
    </w:p>
    <w:p w:rsidR="00F6481D" w:rsidRPr="00C30130" w:rsidRDefault="009F3C23" w:rsidP="005F2175">
      <w:pPr>
        <w:spacing w:line="360" w:lineRule="auto"/>
        <w:jc w:val="both"/>
      </w:pPr>
      <w:r w:rsidRPr="00C30130">
        <w:t xml:space="preserve">Для снижения риска развития нежелательных явлений со стороны желудочно-кишечного тракта следует использовать минимально эффективную дозу. При появлении симптомов гастропатии показан тщательный контроль, включающий проведение </w:t>
      </w:r>
      <w:r w:rsidRPr="00C30130">
        <w:lastRenderedPageBreak/>
        <w:t>эзофагогастродуоденоскопии, анализ крови с определением гемоглобина и гематокрита, анализ кала на скрытую кровь.</w:t>
      </w:r>
    </w:p>
    <w:p w:rsidR="00BF65F2" w:rsidRPr="00C30130" w:rsidRDefault="00BF65F2" w:rsidP="00082576">
      <w:pPr>
        <w:spacing w:line="360" w:lineRule="auto"/>
        <w:jc w:val="both"/>
      </w:pPr>
      <w:r w:rsidRPr="00C30130">
        <w:t>При необходимости определения 17-кетостероидов, препарат следует отменить за</w:t>
      </w:r>
      <w:r w:rsidR="00862C69" w:rsidRPr="00C30130">
        <w:t xml:space="preserve">            </w:t>
      </w:r>
      <w:r w:rsidRPr="00C30130">
        <w:t>48 часов до исследования.</w:t>
      </w:r>
    </w:p>
    <w:p w:rsidR="00BF65F2" w:rsidRPr="00C30130" w:rsidRDefault="00BF65F2" w:rsidP="00082576">
      <w:pPr>
        <w:spacing w:line="360" w:lineRule="auto"/>
        <w:jc w:val="both"/>
      </w:pPr>
      <w:r w:rsidRPr="00C30130">
        <w:t>В период лечения следует воздержаться от приема алкоголя.</w:t>
      </w:r>
    </w:p>
    <w:p w:rsidR="006C4B50" w:rsidRPr="001F6E5F" w:rsidRDefault="006C4B50" w:rsidP="00082576">
      <w:pPr>
        <w:spacing w:line="360" w:lineRule="auto"/>
      </w:pPr>
      <w:r w:rsidRPr="001F6E5F">
        <w:rPr>
          <w:b/>
        </w:rPr>
        <w:t>Влияние на способность</w:t>
      </w:r>
      <w:r>
        <w:rPr>
          <w:b/>
        </w:rPr>
        <w:t xml:space="preserve"> управлять транспортными средствами и механизмами</w:t>
      </w:r>
    </w:p>
    <w:p w:rsidR="00BF65F2" w:rsidRPr="00C30130" w:rsidRDefault="00BF65F2" w:rsidP="00082576">
      <w:pPr>
        <w:spacing w:line="360" w:lineRule="auto"/>
        <w:jc w:val="both"/>
      </w:pPr>
      <w:r w:rsidRPr="00C30130">
        <w:t>В период лечения пациент должен воздержаться от занятий потенциально опасными видами деятельности, требующих повышенной концентрации внимания и быстроты психомоторных реакций.</w:t>
      </w:r>
    </w:p>
    <w:p w:rsidR="00BF65F2" w:rsidRPr="00C30130" w:rsidRDefault="00BF65F2" w:rsidP="005F2175">
      <w:pPr>
        <w:spacing w:line="360" w:lineRule="auto"/>
        <w:jc w:val="both"/>
        <w:rPr>
          <w:b/>
        </w:rPr>
      </w:pPr>
      <w:r w:rsidRPr="00C30130">
        <w:rPr>
          <w:b/>
        </w:rPr>
        <w:t>Форма выпуска</w:t>
      </w:r>
    </w:p>
    <w:p w:rsidR="00167213" w:rsidRDefault="00BF65F2" w:rsidP="001F242C">
      <w:pPr>
        <w:shd w:val="clear" w:color="auto" w:fill="FFFFFF"/>
        <w:spacing w:line="360" w:lineRule="auto"/>
        <w:ind w:right="14"/>
        <w:jc w:val="both"/>
      </w:pPr>
      <w:r w:rsidRPr="00C30130">
        <w:t>Таблетки, покрытые пленочной оболочкой</w:t>
      </w:r>
      <w:r w:rsidR="006C4B50">
        <w:t>, 400 мг+5 мг+0,1 мг</w:t>
      </w:r>
      <w:r w:rsidRPr="00C30130">
        <w:t xml:space="preserve">. </w:t>
      </w:r>
    </w:p>
    <w:p w:rsidR="001F242C" w:rsidRPr="00C30130" w:rsidRDefault="00BF65F2" w:rsidP="001F242C">
      <w:pPr>
        <w:shd w:val="clear" w:color="auto" w:fill="FFFFFF"/>
        <w:spacing w:line="360" w:lineRule="auto"/>
        <w:ind w:right="14"/>
        <w:jc w:val="both"/>
      </w:pPr>
      <w:r w:rsidRPr="00C30130">
        <w:t>По 10 таблеток в ПВХ/</w:t>
      </w:r>
      <w:r w:rsidR="00930D61" w:rsidRPr="00C30130">
        <w:t>ПВДХ/</w:t>
      </w:r>
      <w:r w:rsidRPr="00C30130">
        <w:t xml:space="preserve">алюминиевый блистер. По 2 </w:t>
      </w:r>
      <w:r w:rsidR="00AC3D4B" w:rsidRPr="00C30130">
        <w:t>блистер</w:t>
      </w:r>
      <w:r w:rsidR="001F242C" w:rsidRPr="00C30130">
        <w:t>а</w:t>
      </w:r>
      <w:r w:rsidRPr="00C30130">
        <w:t xml:space="preserve"> с инструкцией по применению в пачку картонную.</w:t>
      </w:r>
      <w:r w:rsidR="001F242C" w:rsidRPr="00C30130">
        <w:t xml:space="preserve"> По 10 блистеров с равным количеством инст</w:t>
      </w:r>
      <w:r w:rsidR="00751E3D" w:rsidRPr="00C30130">
        <w:t>рукций по применению в пачку картонную</w:t>
      </w:r>
      <w:r w:rsidR="001F242C" w:rsidRPr="00C30130">
        <w:t xml:space="preserve">. </w:t>
      </w:r>
    </w:p>
    <w:p w:rsidR="00023A6E" w:rsidRPr="00C30130" w:rsidRDefault="005E1A69" w:rsidP="005F2175">
      <w:pPr>
        <w:spacing w:line="360" w:lineRule="auto"/>
        <w:jc w:val="both"/>
        <w:rPr>
          <w:b/>
        </w:rPr>
      </w:pPr>
      <w:r w:rsidRPr="00C30130">
        <w:t xml:space="preserve">По 6 таблеток в ПВХ/ПВДХ/алюминиевый блистер. По 1 блистеру </w:t>
      </w:r>
      <w:r w:rsidR="0008684B" w:rsidRPr="00C30130">
        <w:t>с инструкцией по применению</w:t>
      </w:r>
      <w:r w:rsidR="004D2BA3" w:rsidRPr="00C30130">
        <w:t xml:space="preserve"> в пластиковую упаковку</w:t>
      </w:r>
      <w:r w:rsidR="002058DA" w:rsidRPr="00C30130">
        <w:t xml:space="preserve">. По </w:t>
      </w:r>
      <w:r w:rsidR="005B3CB8">
        <w:t>6</w:t>
      </w:r>
      <w:r w:rsidR="005B3CB8" w:rsidRPr="00C30130">
        <w:t xml:space="preserve"> </w:t>
      </w:r>
      <w:r w:rsidR="00023A6E" w:rsidRPr="00C30130">
        <w:t>пластиковых упаковок в пачку картонную</w:t>
      </w:r>
      <w:r w:rsidR="00A62D29" w:rsidRPr="00C30130">
        <w:t>.</w:t>
      </w:r>
      <w:r w:rsidR="00023A6E" w:rsidRPr="00C30130">
        <w:rPr>
          <w:b/>
        </w:rPr>
        <w:t xml:space="preserve"> </w:t>
      </w:r>
    </w:p>
    <w:p w:rsidR="00BF65F2" w:rsidRPr="00C30130" w:rsidRDefault="00BF65F2" w:rsidP="005F2175">
      <w:pPr>
        <w:spacing w:line="360" w:lineRule="auto"/>
        <w:jc w:val="both"/>
        <w:rPr>
          <w:b/>
        </w:rPr>
      </w:pPr>
      <w:r w:rsidRPr="00C30130">
        <w:rPr>
          <w:b/>
        </w:rPr>
        <w:t>Условия хранения</w:t>
      </w:r>
    </w:p>
    <w:p w:rsidR="00BF65F2" w:rsidRPr="00C30130" w:rsidRDefault="00BF65F2" w:rsidP="005F2175">
      <w:pPr>
        <w:spacing w:line="360" w:lineRule="auto"/>
        <w:jc w:val="both"/>
      </w:pPr>
      <w:r w:rsidRPr="00C30130">
        <w:t xml:space="preserve">В сухом, защищенном от света месте при температуре не выше 25 </w:t>
      </w:r>
      <w:r w:rsidRPr="00C30130">
        <w:rPr>
          <w:vertAlign w:val="superscript"/>
        </w:rPr>
        <w:t>о</w:t>
      </w:r>
      <w:r w:rsidRPr="00C30130">
        <w:t>С.</w:t>
      </w:r>
    </w:p>
    <w:p w:rsidR="00BF65F2" w:rsidRPr="00C30130" w:rsidRDefault="00BF65F2" w:rsidP="005F2175">
      <w:pPr>
        <w:spacing w:line="360" w:lineRule="auto"/>
        <w:jc w:val="both"/>
      </w:pPr>
      <w:r w:rsidRPr="00C30130">
        <w:t>Хранить в недоступном для детей месте!</w:t>
      </w:r>
    </w:p>
    <w:p w:rsidR="00A928F5" w:rsidRPr="00C30130" w:rsidRDefault="00BF65F2" w:rsidP="005F2175">
      <w:pPr>
        <w:spacing w:line="360" w:lineRule="auto"/>
        <w:rPr>
          <w:b/>
        </w:rPr>
      </w:pPr>
      <w:r w:rsidRPr="00C30130">
        <w:rPr>
          <w:b/>
        </w:rPr>
        <w:t>Срок годности</w:t>
      </w:r>
    </w:p>
    <w:p w:rsidR="00BF65F2" w:rsidRPr="00C30130" w:rsidRDefault="00D1488B" w:rsidP="005F2175">
      <w:pPr>
        <w:spacing w:line="360" w:lineRule="auto"/>
      </w:pPr>
      <w:r w:rsidRPr="00C30130">
        <w:t>3</w:t>
      </w:r>
      <w:r w:rsidR="00BF65F2" w:rsidRPr="00C30130">
        <w:t xml:space="preserve"> года. Не</w:t>
      </w:r>
      <w:r w:rsidR="00220BE9">
        <w:t xml:space="preserve"> применять</w:t>
      </w:r>
      <w:r w:rsidR="00BF65F2" w:rsidRPr="00C30130">
        <w:t xml:space="preserve"> после истечения срока годности, указанного на упаковке.</w:t>
      </w:r>
    </w:p>
    <w:p w:rsidR="00BF65F2" w:rsidRPr="00C30130" w:rsidRDefault="00BF65F2" w:rsidP="005F2175">
      <w:pPr>
        <w:spacing w:line="360" w:lineRule="auto"/>
        <w:rPr>
          <w:b/>
        </w:rPr>
      </w:pPr>
      <w:r w:rsidRPr="00C30130">
        <w:rPr>
          <w:b/>
        </w:rPr>
        <w:t xml:space="preserve">Условия отпуска </w:t>
      </w:r>
    </w:p>
    <w:p w:rsidR="00BF65F2" w:rsidRPr="00C30130" w:rsidRDefault="00220BE9" w:rsidP="005F2175">
      <w:pPr>
        <w:spacing w:line="360" w:lineRule="auto"/>
      </w:pPr>
      <w:r>
        <w:t>Отпускают без рецепта</w:t>
      </w:r>
      <w:r w:rsidR="00BF65F2" w:rsidRPr="00C30130">
        <w:t>.</w:t>
      </w:r>
    </w:p>
    <w:p w:rsidR="00220BE9" w:rsidRPr="001F6E5F" w:rsidRDefault="00220BE9" w:rsidP="005F2175">
      <w:pPr>
        <w:spacing w:line="360" w:lineRule="auto"/>
        <w:rPr>
          <w:b/>
        </w:rPr>
      </w:pPr>
      <w:r w:rsidRPr="001F6E5F">
        <w:rPr>
          <w:b/>
        </w:rPr>
        <w:t>Производитель</w:t>
      </w:r>
    </w:p>
    <w:p w:rsidR="00220BE9" w:rsidRPr="001F6E5F" w:rsidRDefault="00220BE9" w:rsidP="00220BE9">
      <w:pPr>
        <w:spacing w:line="360" w:lineRule="auto"/>
      </w:pPr>
      <w:r w:rsidRPr="001F6E5F">
        <w:t>Вокхард Лимитед</w:t>
      </w:r>
    </w:p>
    <w:p w:rsidR="00C2624A" w:rsidRDefault="00C2624A" w:rsidP="005F2175">
      <w:pPr>
        <w:spacing w:line="360" w:lineRule="auto"/>
      </w:pPr>
      <w:r w:rsidRPr="00C30130">
        <w:t>Н-14/2,</w:t>
      </w:r>
      <w:r w:rsidR="00B073E3" w:rsidRPr="00C30130">
        <w:t xml:space="preserve"> </w:t>
      </w:r>
      <w:r w:rsidRPr="00C30130">
        <w:t>МИДС, Валудж, Аурангабад – 431136, Махараштра, Индия.</w:t>
      </w:r>
    </w:p>
    <w:p w:rsidR="00220BE9" w:rsidRDefault="00220BE9" w:rsidP="005F2175">
      <w:pPr>
        <w:spacing w:line="360" w:lineRule="auto"/>
        <w:rPr>
          <w:b/>
        </w:rPr>
      </w:pPr>
      <w:r w:rsidRPr="001F6E5F">
        <w:rPr>
          <w:b/>
        </w:rPr>
        <w:t>Владелец регистрационного удостоверения</w:t>
      </w:r>
    </w:p>
    <w:p w:rsidR="00220BE9" w:rsidRPr="00460976" w:rsidRDefault="00220BE9" w:rsidP="00220BE9">
      <w:pPr>
        <w:spacing w:line="360" w:lineRule="auto"/>
      </w:pPr>
      <w:r w:rsidRPr="00460976">
        <w:t>Вокхард Лимитед</w:t>
      </w:r>
    </w:p>
    <w:p w:rsidR="00220BE9" w:rsidRPr="00072DCA" w:rsidRDefault="00220BE9" w:rsidP="00220BE9">
      <w:pPr>
        <w:spacing w:line="360" w:lineRule="auto"/>
      </w:pPr>
      <w:r w:rsidRPr="00072DCA">
        <w:t xml:space="preserve">Д-4, МИДС, </w:t>
      </w:r>
      <w:proofErr w:type="spellStart"/>
      <w:r w:rsidRPr="00072DCA">
        <w:t>Чикалтана</w:t>
      </w:r>
      <w:proofErr w:type="spellEnd"/>
      <w:r w:rsidRPr="00072DCA">
        <w:t>, Аурангабад - 431006, штат Махараштра-МН, Индия.</w:t>
      </w:r>
    </w:p>
    <w:p w:rsidR="00460976" w:rsidRDefault="00220BE9" w:rsidP="005F2175">
      <w:pPr>
        <w:spacing w:line="360" w:lineRule="auto"/>
        <w:rPr>
          <w:i/>
          <w:strike/>
        </w:rPr>
      </w:pPr>
      <w:r>
        <w:rPr>
          <w:b/>
        </w:rPr>
        <w:t>Организация, принимающая претензии потребителя</w:t>
      </w:r>
      <w:r w:rsidR="00460976">
        <w:rPr>
          <w:b/>
        </w:rPr>
        <w:t xml:space="preserve"> </w:t>
      </w:r>
    </w:p>
    <w:p w:rsidR="005D615F" w:rsidRPr="00167213" w:rsidRDefault="00B100D5" w:rsidP="005F2175">
      <w:pPr>
        <w:spacing w:line="360" w:lineRule="auto"/>
      </w:pPr>
      <w:r w:rsidRPr="00167213">
        <w:t xml:space="preserve">Московское </w:t>
      </w:r>
      <w:r w:rsidR="004D69A7" w:rsidRPr="00167213">
        <w:t xml:space="preserve">Представительство </w:t>
      </w:r>
      <w:r w:rsidR="005D615F" w:rsidRPr="00167213">
        <w:t>Вокхард</w:t>
      </w:r>
      <w:r w:rsidR="004D69A7" w:rsidRPr="00167213">
        <w:t xml:space="preserve"> Лимитед</w:t>
      </w:r>
      <w:r w:rsidR="005D615F" w:rsidRPr="00167213">
        <w:t xml:space="preserve"> </w:t>
      </w:r>
      <w:r w:rsidRPr="00167213">
        <w:t>(Индия)</w:t>
      </w:r>
    </w:p>
    <w:p w:rsidR="005D615F" w:rsidRPr="00C30130" w:rsidRDefault="00B100D5" w:rsidP="005F2175">
      <w:pPr>
        <w:spacing w:line="360" w:lineRule="auto"/>
      </w:pPr>
      <w:r>
        <w:t>121471</w:t>
      </w:r>
      <w:r w:rsidR="005D615F" w:rsidRPr="00C30130">
        <w:t xml:space="preserve">, г. Москва, </w:t>
      </w:r>
      <w:r>
        <w:t>ул. Рябиновая, д. 43, стр. 1</w:t>
      </w:r>
      <w:r w:rsidR="005D615F" w:rsidRPr="00C30130">
        <w:t xml:space="preserve"> </w:t>
      </w:r>
    </w:p>
    <w:p w:rsidR="005D615F" w:rsidRPr="00D36C96" w:rsidRDefault="005D615F" w:rsidP="005F2175">
      <w:pPr>
        <w:shd w:val="clear" w:color="auto" w:fill="FFFFFF"/>
        <w:spacing w:line="360" w:lineRule="auto"/>
        <w:ind w:right="14"/>
        <w:jc w:val="both"/>
        <w:rPr>
          <w:lang w:val="en-US"/>
        </w:rPr>
      </w:pPr>
      <w:r w:rsidRPr="00C30130">
        <w:t>Тел</w:t>
      </w:r>
      <w:r w:rsidR="007C43E6" w:rsidRPr="00D36C96">
        <w:rPr>
          <w:lang w:val="en-US"/>
        </w:rPr>
        <w:t>./</w:t>
      </w:r>
      <w:r w:rsidRPr="00C30130">
        <w:t>факс</w:t>
      </w:r>
      <w:r w:rsidR="00B100D5" w:rsidRPr="00D36C96">
        <w:rPr>
          <w:lang w:val="en-US"/>
        </w:rPr>
        <w:t>: + 7</w:t>
      </w:r>
      <w:r w:rsidR="007C43E6" w:rsidRPr="00D36C96">
        <w:rPr>
          <w:lang w:val="en-US"/>
        </w:rPr>
        <w:t xml:space="preserve"> (49</w:t>
      </w:r>
      <w:r w:rsidR="00B100D5" w:rsidRPr="00D36C96">
        <w:rPr>
          <w:lang w:val="en-US"/>
        </w:rPr>
        <w:t>9</w:t>
      </w:r>
      <w:r w:rsidR="007C43E6" w:rsidRPr="00D36C96">
        <w:rPr>
          <w:lang w:val="en-US"/>
        </w:rPr>
        <w:t xml:space="preserve">) </w:t>
      </w:r>
      <w:r w:rsidR="00B100D5" w:rsidRPr="00D36C96">
        <w:rPr>
          <w:lang w:val="en-US"/>
        </w:rPr>
        <w:t>726-74-73</w:t>
      </w:r>
    </w:p>
    <w:p w:rsidR="00167213" w:rsidRDefault="00167213" w:rsidP="007932BA">
      <w:pPr>
        <w:shd w:val="clear" w:color="auto" w:fill="FFFFFF"/>
        <w:spacing w:line="360" w:lineRule="auto"/>
        <w:ind w:right="14"/>
        <w:jc w:val="both"/>
      </w:pPr>
    </w:p>
    <w:p w:rsidR="00167213" w:rsidRDefault="00167213" w:rsidP="007932BA">
      <w:pPr>
        <w:shd w:val="clear" w:color="auto" w:fill="FFFFFF"/>
        <w:spacing w:line="360" w:lineRule="auto"/>
        <w:ind w:right="14"/>
        <w:jc w:val="both"/>
      </w:pPr>
    </w:p>
    <w:p w:rsidR="00167213" w:rsidRPr="00167213" w:rsidRDefault="005D615F" w:rsidP="007932BA">
      <w:pPr>
        <w:shd w:val="clear" w:color="auto" w:fill="FFFFFF"/>
        <w:spacing w:line="360" w:lineRule="auto"/>
        <w:ind w:right="14"/>
        <w:jc w:val="both"/>
        <w:rPr>
          <w:lang w:val="en-US"/>
        </w:rPr>
      </w:pPr>
      <w:r w:rsidRPr="00C30130">
        <w:rPr>
          <w:lang w:val="en-US"/>
        </w:rPr>
        <w:lastRenderedPageBreak/>
        <w:t>E</w:t>
      </w:r>
      <w:r w:rsidR="007C43E6">
        <w:rPr>
          <w:lang w:val="en-US"/>
        </w:rPr>
        <w:t>-</w:t>
      </w:r>
      <w:r w:rsidRPr="00C30130">
        <w:rPr>
          <w:lang w:val="en-US"/>
        </w:rPr>
        <w:t>mail</w:t>
      </w:r>
      <w:r w:rsidR="007C43E6">
        <w:rPr>
          <w:lang w:val="en-US"/>
        </w:rPr>
        <w:t xml:space="preserve">: </w:t>
      </w:r>
      <w:hyperlink r:id="rId8" w:history="1">
        <w:r w:rsidRPr="00C30130">
          <w:rPr>
            <w:rStyle w:val="aa"/>
            <w:lang w:val="en-US"/>
          </w:rPr>
          <w:t>info</w:t>
        </w:r>
        <w:r w:rsidR="007C43E6">
          <w:rPr>
            <w:rStyle w:val="aa"/>
            <w:lang w:val="en-US"/>
          </w:rPr>
          <w:t>@</w:t>
        </w:r>
        <w:r w:rsidRPr="00C30130">
          <w:rPr>
            <w:rStyle w:val="aa"/>
            <w:lang w:val="en-US"/>
          </w:rPr>
          <w:t>wockhardt</w:t>
        </w:r>
        <w:r w:rsidR="007C43E6">
          <w:rPr>
            <w:rStyle w:val="aa"/>
            <w:lang w:val="en-US"/>
          </w:rPr>
          <w:t>.</w:t>
        </w:r>
        <w:r w:rsidRPr="00C30130">
          <w:rPr>
            <w:rStyle w:val="aa"/>
            <w:lang w:val="en-US"/>
          </w:rPr>
          <w:t>ru</w:t>
        </w:r>
      </w:hyperlink>
      <w:r w:rsidR="007C43E6" w:rsidRPr="007C43E6">
        <w:rPr>
          <w:lang w:val="en-US"/>
        </w:rPr>
        <w:t xml:space="preserve">, </w:t>
      </w:r>
    </w:p>
    <w:p w:rsidR="005F2175" w:rsidRPr="00167213" w:rsidRDefault="005D615F" w:rsidP="007932BA">
      <w:pPr>
        <w:shd w:val="clear" w:color="auto" w:fill="FFFFFF"/>
        <w:spacing w:line="360" w:lineRule="auto"/>
        <w:ind w:right="14"/>
        <w:jc w:val="both"/>
        <w:rPr>
          <w:u w:val="single"/>
          <w:lang w:val="en-US"/>
        </w:rPr>
      </w:pPr>
      <w:bookmarkStart w:id="0" w:name="_GoBack"/>
      <w:bookmarkEnd w:id="0"/>
      <w:r w:rsidRPr="00C30130">
        <w:rPr>
          <w:lang w:val="en-US"/>
        </w:rPr>
        <w:t>Website</w:t>
      </w:r>
      <w:r w:rsidR="007C43E6" w:rsidRPr="00167213">
        <w:rPr>
          <w:lang w:val="en-US"/>
        </w:rPr>
        <w:t xml:space="preserve">: </w:t>
      </w:r>
      <w:hyperlink r:id="rId9" w:history="1">
        <w:r w:rsidRPr="00C30130">
          <w:rPr>
            <w:rStyle w:val="aa"/>
            <w:lang w:val="en-US"/>
          </w:rPr>
          <w:t>www</w:t>
        </w:r>
        <w:r w:rsidRPr="00167213">
          <w:rPr>
            <w:rStyle w:val="aa"/>
            <w:lang w:val="en-US"/>
          </w:rPr>
          <w:t>.</w:t>
        </w:r>
        <w:r w:rsidRPr="00C30130">
          <w:rPr>
            <w:rStyle w:val="aa"/>
            <w:lang w:val="en-US"/>
          </w:rPr>
          <w:t>wockhardt</w:t>
        </w:r>
        <w:r w:rsidRPr="00167213">
          <w:rPr>
            <w:rStyle w:val="aa"/>
            <w:lang w:val="en-US"/>
          </w:rPr>
          <w:t>.</w:t>
        </w:r>
        <w:r w:rsidRPr="00C30130">
          <w:rPr>
            <w:rStyle w:val="aa"/>
            <w:lang w:val="en-US"/>
          </w:rPr>
          <w:t>ru</w:t>
        </w:r>
      </w:hyperlink>
      <w:r w:rsidRPr="00167213">
        <w:rPr>
          <w:u w:val="single"/>
          <w:lang w:val="en-US"/>
        </w:rPr>
        <w:t xml:space="preserve">. </w:t>
      </w:r>
    </w:p>
    <w:p w:rsidR="00167213" w:rsidRPr="00167213" w:rsidRDefault="00167213" w:rsidP="00554078">
      <w:pPr>
        <w:spacing w:line="360" w:lineRule="auto"/>
        <w:jc w:val="both"/>
        <w:rPr>
          <w:sz w:val="28"/>
          <w:szCs w:val="28"/>
          <w:lang w:val="en-US"/>
        </w:rPr>
      </w:pPr>
    </w:p>
    <w:p w:rsidR="00554078" w:rsidRPr="00A70918" w:rsidRDefault="00554078" w:rsidP="005540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Представительства</w:t>
      </w:r>
    </w:p>
    <w:p w:rsidR="00611E2A" w:rsidRPr="001F6E5F" w:rsidRDefault="00554078" w:rsidP="00F55E22">
      <w:pPr>
        <w:spacing w:line="360" w:lineRule="auto"/>
        <w:jc w:val="both"/>
      </w:pPr>
      <w:r w:rsidRPr="00A70918">
        <w:rPr>
          <w:sz w:val="28"/>
          <w:szCs w:val="28"/>
        </w:rPr>
        <w:t>Вокхард Лимитед</w:t>
      </w:r>
      <w:r>
        <w:rPr>
          <w:sz w:val="28"/>
          <w:szCs w:val="28"/>
        </w:rPr>
        <w:t xml:space="preserve"> (Индия) в РФ                         </w:t>
      </w:r>
      <w:r w:rsidRPr="00A709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Правин Самбрей</w:t>
      </w:r>
    </w:p>
    <w:sectPr w:rsidR="00611E2A" w:rsidRPr="001F6E5F" w:rsidSect="00091B0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24" w:rsidRDefault="003B1F24">
      <w:r>
        <w:separator/>
      </w:r>
    </w:p>
  </w:endnote>
  <w:endnote w:type="continuationSeparator" w:id="0">
    <w:p w:rsidR="003B1F24" w:rsidRDefault="003B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24" w:rsidRDefault="003B1F24">
      <w:r>
        <w:separator/>
      </w:r>
    </w:p>
  </w:footnote>
  <w:footnote w:type="continuationSeparator" w:id="0">
    <w:p w:rsidR="003B1F24" w:rsidRDefault="003B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65" w:rsidRDefault="00665CAF" w:rsidP="007470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12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265" w:rsidRDefault="001F1265" w:rsidP="00091B0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65" w:rsidRPr="00751BAD" w:rsidRDefault="00665CAF" w:rsidP="00747033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751BAD">
      <w:rPr>
        <w:rStyle w:val="a5"/>
        <w:sz w:val="28"/>
        <w:szCs w:val="28"/>
      </w:rPr>
      <w:fldChar w:fldCharType="begin"/>
    </w:r>
    <w:r w:rsidR="001F1265" w:rsidRPr="00751BAD">
      <w:rPr>
        <w:rStyle w:val="a5"/>
        <w:sz w:val="28"/>
        <w:szCs w:val="28"/>
      </w:rPr>
      <w:instrText xml:space="preserve">PAGE  </w:instrText>
    </w:r>
    <w:r w:rsidRPr="00751BAD">
      <w:rPr>
        <w:rStyle w:val="a5"/>
        <w:sz w:val="28"/>
        <w:szCs w:val="28"/>
      </w:rPr>
      <w:fldChar w:fldCharType="separate"/>
    </w:r>
    <w:r w:rsidR="00167213">
      <w:rPr>
        <w:rStyle w:val="a5"/>
        <w:noProof/>
        <w:sz w:val="28"/>
        <w:szCs w:val="28"/>
      </w:rPr>
      <w:t>6</w:t>
    </w:r>
    <w:r w:rsidRPr="00751BAD">
      <w:rPr>
        <w:rStyle w:val="a5"/>
        <w:sz w:val="28"/>
        <w:szCs w:val="28"/>
      </w:rPr>
      <w:fldChar w:fldCharType="end"/>
    </w:r>
  </w:p>
  <w:p w:rsidR="001F1265" w:rsidRDefault="001F12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8CE"/>
    <w:rsid w:val="00000763"/>
    <w:rsid w:val="00010887"/>
    <w:rsid w:val="00014E4C"/>
    <w:rsid w:val="00023A6E"/>
    <w:rsid w:val="0003206C"/>
    <w:rsid w:val="000419E7"/>
    <w:rsid w:val="00072DCA"/>
    <w:rsid w:val="00074253"/>
    <w:rsid w:val="00082576"/>
    <w:rsid w:val="0008552E"/>
    <w:rsid w:val="0008684B"/>
    <w:rsid w:val="00091B06"/>
    <w:rsid w:val="000958BF"/>
    <w:rsid w:val="00097389"/>
    <w:rsid w:val="000B1E6E"/>
    <w:rsid w:val="000C2994"/>
    <w:rsid w:val="000C5482"/>
    <w:rsid w:val="000E7798"/>
    <w:rsid w:val="000F264A"/>
    <w:rsid w:val="00144D3A"/>
    <w:rsid w:val="001475D3"/>
    <w:rsid w:val="00150BA8"/>
    <w:rsid w:val="00150DCD"/>
    <w:rsid w:val="001660AE"/>
    <w:rsid w:val="00167213"/>
    <w:rsid w:val="0017001C"/>
    <w:rsid w:val="00171669"/>
    <w:rsid w:val="0018280A"/>
    <w:rsid w:val="001A0A13"/>
    <w:rsid w:val="001A491C"/>
    <w:rsid w:val="001A55FB"/>
    <w:rsid w:val="001B7EB1"/>
    <w:rsid w:val="001E7A7F"/>
    <w:rsid w:val="001F0226"/>
    <w:rsid w:val="001F1265"/>
    <w:rsid w:val="001F242C"/>
    <w:rsid w:val="001F6E5F"/>
    <w:rsid w:val="002033AB"/>
    <w:rsid w:val="002058DA"/>
    <w:rsid w:val="00220BE9"/>
    <w:rsid w:val="002238A1"/>
    <w:rsid w:val="00227267"/>
    <w:rsid w:val="00234CB1"/>
    <w:rsid w:val="00242C7A"/>
    <w:rsid w:val="0024782D"/>
    <w:rsid w:val="00262B69"/>
    <w:rsid w:val="002820EC"/>
    <w:rsid w:val="0029070F"/>
    <w:rsid w:val="0029362E"/>
    <w:rsid w:val="00294153"/>
    <w:rsid w:val="002A06B2"/>
    <w:rsid w:val="002C23B4"/>
    <w:rsid w:val="002C4B32"/>
    <w:rsid w:val="002C5800"/>
    <w:rsid w:val="002C69E5"/>
    <w:rsid w:val="002D5A12"/>
    <w:rsid w:val="002E67F3"/>
    <w:rsid w:val="002E724C"/>
    <w:rsid w:val="003011AA"/>
    <w:rsid w:val="00312D0F"/>
    <w:rsid w:val="003166FA"/>
    <w:rsid w:val="0032057C"/>
    <w:rsid w:val="00322C53"/>
    <w:rsid w:val="00334C8D"/>
    <w:rsid w:val="00343FBD"/>
    <w:rsid w:val="00345E5D"/>
    <w:rsid w:val="003520FF"/>
    <w:rsid w:val="00361FE1"/>
    <w:rsid w:val="003626A0"/>
    <w:rsid w:val="00364912"/>
    <w:rsid w:val="003811A3"/>
    <w:rsid w:val="00385810"/>
    <w:rsid w:val="003A430F"/>
    <w:rsid w:val="003B1F24"/>
    <w:rsid w:val="003B76D0"/>
    <w:rsid w:val="003E7543"/>
    <w:rsid w:val="003F4C90"/>
    <w:rsid w:val="00406BA9"/>
    <w:rsid w:val="004207E5"/>
    <w:rsid w:val="00426F39"/>
    <w:rsid w:val="00441FDC"/>
    <w:rsid w:val="00456C83"/>
    <w:rsid w:val="004574FD"/>
    <w:rsid w:val="00460976"/>
    <w:rsid w:val="0046538A"/>
    <w:rsid w:val="00480F70"/>
    <w:rsid w:val="00484019"/>
    <w:rsid w:val="00490787"/>
    <w:rsid w:val="004958D6"/>
    <w:rsid w:val="004978BD"/>
    <w:rsid w:val="004978EA"/>
    <w:rsid w:val="004B4CDA"/>
    <w:rsid w:val="004C4581"/>
    <w:rsid w:val="004D2BA3"/>
    <w:rsid w:val="004D3500"/>
    <w:rsid w:val="004D69A7"/>
    <w:rsid w:val="004E4AF0"/>
    <w:rsid w:val="004F2D8A"/>
    <w:rsid w:val="004F4131"/>
    <w:rsid w:val="00506F16"/>
    <w:rsid w:val="00507F02"/>
    <w:rsid w:val="00516A83"/>
    <w:rsid w:val="00517DB3"/>
    <w:rsid w:val="00520249"/>
    <w:rsid w:val="00522C75"/>
    <w:rsid w:val="005232CF"/>
    <w:rsid w:val="0052378D"/>
    <w:rsid w:val="005330DE"/>
    <w:rsid w:val="0054431B"/>
    <w:rsid w:val="00550148"/>
    <w:rsid w:val="00554078"/>
    <w:rsid w:val="00556489"/>
    <w:rsid w:val="005618FA"/>
    <w:rsid w:val="00564A2F"/>
    <w:rsid w:val="00585616"/>
    <w:rsid w:val="005864C5"/>
    <w:rsid w:val="00592513"/>
    <w:rsid w:val="00597169"/>
    <w:rsid w:val="00597444"/>
    <w:rsid w:val="005A4EA6"/>
    <w:rsid w:val="005A7900"/>
    <w:rsid w:val="005A7C52"/>
    <w:rsid w:val="005A7EBE"/>
    <w:rsid w:val="005B1E71"/>
    <w:rsid w:val="005B3CB8"/>
    <w:rsid w:val="005B64E0"/>
    <w:rsid w:val="005B7198"/>
    <w:rsid w:val="005D3A49"/>
    <w:rsid w:val="005D615F"/>
    <w:rsid w:val="005E1A69"/>
    <w:rsid w:val="005E58F6"/>
    <w:rsid w:val="005E6EAB"/>
    <w:rsid w:val="005F064B"/>
    <w:rsid w:val="005F2175"/>
    <w:rsid w:val="00603BF3"/>
    <w:rsid w:val="00611E2A"/>
    <w:rsid w:val="00615300"/>
    <w:rsid w:val="006161C3"/>
    <w:rsid w:val="006407F7"/>
    <w:rsid w:val="00651499"/>
    <w:rsid w:val="00660A6E"/>
    <w:rsid w:val="00665CAF"/>
    <w:rsid w:val="00674C35"/>
    <w:rsid w:val="006A3C1F"/>
    <w:rsid w:val="006A45CA"/>
    <w:rsid w:val="006B1343"/>
    <w:rsid w:val="006B4FF9"/>
    <w:rsid w:val="006C4B50"/>
    <w:rsid w:val="006C50A5"/>
    <w:rsid w:val="006C6BFE"/>
    <w:rsid w:val="006D090C"/>
    <w:rsid w:val="006E0B91"/>
    <w:rsid w:val="006F2344"/>
    <w:rsid w:val="006F2429"/>
    <w:rsid w:val="006F618C"/>
    <w:rsid w:val="00712922"/>
    <w:rsid w:val="00714F1A"/>
    <w:rsid w:val="00727C9C"/>
    <w:rsid w:val="0074022F"/>
    <w:rsid w:val="007431AA"/>
    <w:rsid w:val="00747033"/>
    <w:rsid w:val="00751BAD"/>
    <w:rsid w:val="00751E3D"/>
    <w:rsid w:val="00776A8E"/>
    <w:rsid w:val="00787D05"/>
    <w:rsid w:val="007909BE"/>
    <w:rsid w:val="007932BA"/>
    <w:rsid w:val="00795556"/>
    <w:rsid w:val="007960CF"/>
    <w:rsid w:val="007A478D"/>
    <w:rsid w:val="007A4B40"/>
    <w:rsid w:val="007A7299"/>
    <w:rsid w:val="007B640C"/>
    <w:rsid w:val="007C43E6"/>
    <w:rsid w:val="007D27A5"/>
    <w:rsid w:val="007E4C2E"/>
    <w:rsid w:val="007F27DE"/>
    <w:rsid w:val="0080300D"/>
    <w:rsid w:val="008116B0"/>
    <w:rsid w:val="008215A5"/>
    <w:rsid w:val="00821D04"/>
    <w:rsid w:val="008327B9"/>
    <w:rsid w:val="00843E39"/>
    <w:rsid w:val="00862C69"/>
    <w:rsid w:val="00865F2C"/>
    <w:rsid w:val="00870384"/>
    <w:rsid w:val="00873D80"/>
    <w:rsid w:val="008A2C4F"/>
    <w:rsid w:val="008A7D27"/>
    <w:rsid w:val="008C4F19"/>
    <w:rsid w:val="008E03B9"/>
    <w:rsid w:val="008E25B9"/>
    <w:rsid w:val="008E5FAE"/>
    <w:rsid w:val="008F556A"/>
    <w:rsid w:val="008F5BD4"/>
    <w:rsid w:val="008F7C22"/>
    <w:rsid w:val="00901BFC"/>
    <w:rsid w:val="009031DE"/>
    <w:rsid w:val="009224A1"/>
    <w:rsid w:val="00930D61"/>
    <w:rsid w:val="00944306"/>
    <w:rsid w:val="009677A4"/>
    <w:rsid w:val="00973958"/>
    <w:rsid w:val="00973FD8"/>
    <w:rsid w:val="009915AE"/>
    <w:rsid w:val="009A2B53"/>
    <w:rsid w:val="009B0FBA"/>
    <w:rsid w:val="009C5772"/>
    <w:rsid w:val="009C7063"/>
    <w:rsid w:val="009C7C21"/>
    <w:rsid w:val="009D0A3D"/>
    <w:rsid w:val="009D0E4A"/>
    <w:rsid w:val="009D355F"/>
    <w:rsid w:val="009D62AE"/>
    <w:rsid w:val="009E1F26"/>
    <w:rsid w:val="009E2B3E"/>
    <w:rsid w:val="009F3C23"/>
    <w:rsid w:val="00A1056E"/>
    <w:rsid w:val="00A1165F"/>
    <w:rsid w:val="00A1404C"/>
    <w:rsid w:val="00A20341"/>
    <w:rsid w:val="00A33C53"/>
    <w:rsid w:val="00A452B3"/>
    <w:rsid w:val="00A62D29"/>
    <w:rsid w:val="00A75B2F"/>
    <w:rsid w:val="00A90126"/>
    <w:rsid w:val="00A92639"/>
    <w:rsid w:val="00A928F5"/>
    <w:rsid w:val="00A96D1C"/>
    <w:rsid w:val="00AA12F3"/>
    <w:rsid w:val="00AA3807"/>
    <w:rsid w:val="00AA74C9"/>
    <w:rsid w:val="00AB427F"/>
    <w:rsid w:val="00AC2F4E"/>
    <w:rsid w:val="00AC3D4B"/>
    <w:rsid w:val="00AD31FD"/>
    <w:rsid w:val="00AE3F1F"/>
    <w:rsid w:val="00AE778B"/>
    <w:rsid w:val="00AF0817"/>
    <w:rsid w:val="00AF0B29"/>
    <w:rsid w:val="00B073E3"/>
    <w:rsid w:val="00B100D5"/>
    <w:rsid w:val="00B23E43"/>
    <w:rsid w:val="00B256A1"/>
    <w:rsid w:val="00B2739C"/>
    <w:rsid w:val="00B53F90"/>
    <w:rsid w:val="00B63F64"/>
    <w:rsid w:val="00B65C57"/>
    <w:rsid w:val="00B72026"/>
    <w:rsid w:val="00BA6A66"/>
    <w:rsid w:val="00BC1B8F"/>
    <w:rsid w:val="00BC515D"/>
    <w:rsid w:val="00BF5A06"/>
    <w:rsid w:val="00BF5AF7"/>
    <w:rsid w:val="00BF65F2"/>
    <w:rsid w:val="00BF7955"/>
    <w:rsid w:val="00C01533"/>
    <w:rsid w:val="00C0616D"/>
    <w:rsid w:val="00C1025C"/>
    <w:rsid w:val="00C22630"/>
    <w:rsid w:val="00C25208"/>
    <w:rsid w:val="00C2624A"/>
    <w:rsid w:val="00C30130"/>
    <w:rsid w:val="00C30376"/>
    <w:rsid w:val="00C345A0"/>
    <w:rsid w:val="00C44831"/>
    <w:rsid w:val="00C478CE"/>
    <w:rsid w:val="00CA1BED"/>
    <w:rsid w:val="00CA34D7"/>
    <w:rsid w:val="00CA3A5B"/>
    <w:rsid w:val="00CA563B"/>
    <w:rsid w:val="00CB6DCB"/>
    <w:rsid w:val="00CD4C4E"/>
    <w:rsid w:val="00CF50CA"/>
    <w:rsid w:val="00D03D0F"/>
    <w:rsid w:val="00D10FEB"/>
    <w:rsid w:val="00D1488B"/>
    <w:rsid w:val="00D166D8"/>
    <w:rsid w:val="00D36C96"/>
    <w:rsid w:val="00D41E2C"/>
    <w:rsid w:val="00D45E2E"/>
    <w:rsid w:val="00D5067B"/>
    <w:rsid w:val="00D535B8"/>
    <w:rsid w:val="00D56E46"/>
    <w:rsid w:val="00D62D97"/>
    <w:rsid w:val="00D63B47"/>
    <w:rsid w:val="00D83661"/>
    <w:rsid w:val="00DB17F0"/>
    <w:rsid w:val="00DD2DE5"/>
    <w:rsid w:val="00DD3073"/>
    <w:rsid w:val="00DE3924"/>
    <w:rsid w:val="00DE53F4"/>
    <w:rsid w:val="00DF46FC"/>
    <w:rsid w:val="00DF75DF"/>
    <w:rsid w:val="00E326E0"/>
    <w:rsid w:val="00E43686"/>
    <w:rsid w:val="00E571AE"/>
    <w:rsid w:val="00E7003A"/>
    <w:rsid w:val="00E749A4"/>
    <w:rsid w:val="00E74DD4"/>
    <w:rsid w:val="00E76FD2"/>
    <w:rsid w:val="00E8239B"/>
    <w:rsid w:val="00EA1736"/>
    <w:rsid w:val="00EA2C51"/>
    <w:rsid w:val="00EA6105"/>
    <w:rsid w:val="00EB4AB7"/>
    <w:rsid w:val="00EB665F"/>
    <w:rsid w:val="00EC262C"/>
    <w:rsid w:val="00EC3F84"/>
    <w:rsid w:val="00ED3458"/>
    <w:rsid w:val="00EE1277"/>
    <w:rsid w:val="00EE6510"/>
    <w:rsid w:val="00EE65C7"/>
    <w:rsid w:val="00EE761C"/>
    <w:rsid w:val="00EF0987"/>
    <w:rsid w:val="00EF77B7"/>
    <w:rsid w:val="00F036E3"/>
    <w:rsid w:val="00F047FE"/>
    <w:rsid w:val="00F115F5"/>
    <w:rsid w:val="00F2539C"/>
    <w:rsid w:val="00F2684B"/>
    <w:rsid w:val="00F3284A"/>
    <w:rsid w:val="00F4376B"/>
    <w:rsid w:val="00F52CC6"/>
    <w:rsid w:val="00F53B70"/>
    <w:rsid w:val="00F55E22"/>
    <w:rsid w:val="00F6481D"/>
    <w:rsid w:val="00F672A9"/>
    <w:rsid w:val="00F74B06"/>
    <w:rsid w:val="00F801A0"/>
    <w:rsid w:val="00FA61FA"/>
    <w:rsid w:val="00FB388C"/>
    <w:rsid w:val="00FC47F9"/>
    <w:rsid w:val="00FE11F1"/>
    <w:rsid w:val="00FF30BE"/>
    <w:rsid w:val="00FF6880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CB1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C5482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91B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B06"/>
  </w:style>
  <w:style w:type="paragraph" w:styleId="a6">
    <w:name w:val="footer"/>
    <w:basedOn w:val="a"/>
    <w:rsid w:val="00091B06"/>
    <w:pPr>
      <w:tabs>
        <w:tab w:val="center" w:pos="4677"/>
        <w:tab w:val="right" w:pos="9355"/>
      </w:tabs>
    </w:pPr>
  </w:style>
  <w:style w:type="paragraph" w:customStyle="1" w:styleId="a7">
    <w:name w:val="Русский абзац"/>
    <w:basedOn w:val="a"/>
    <w:link w:val="a8"/>
    <w:rsid w:val="005D615F"/>
    <w:pPr>
      <w:suppressAutoHyphens/>
      <w:spacing w:after="120" w:line="288" w:lineRule="auto"/>
      <w:ind w:firstLine="720"/>
      <w:jc w:val="both"/>
    </w:pPr>
    <w:rPr>
      <w:sz w:val="26"/>
      <w:szCs w:val="20"/>
    </w:rPr>
  </w:style>
  <w:style w:type="paragraph" w:styleId="a9">
    <w:name w:val="Body Text"/>
    <w:basedOn w:val="a"/>
    <w:rsid w:val="005D615F"/>
    <w:rPr>
      <w:sz w:val="28"/>
      <w:lang w:eastAsia="en-US"/>
    </w:rPr>
  </w:style>
  <w:style w:type="character" w:customStyle="1" w:styleId="a8">
    <w:name w:val="Русский абзац Знак"/>
    <w:basedOn w:val="a0"/>
    <w:link w:val="a7"/>
    <w:rsid w:val="005D615F"/>
    <w:rPr>
      <w:sz w:val="26"/>
      <w:lang w:val="ru-RU" w:eastAsia="ru-RU" w:bidi="ar-SA"/>
    </w:rPr>
  </w:style>
  <w:style w:type="character" w:styleId="aa">
    <w:name w:val="Hyperlink"/>
    <w:basedOn w:val="a0"/>
    <w:rsid w:val="005D615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C5482"/>
    <w:rPr>
      <w:rFonts w:ascii="Cambria" w:hAnsi="Cambria"/>
      <w:b/>
      <w:bCs/>
      <w:i/>
      <w:iCs/>
      <w:color w:val="4F81BD"/>
      <w:sz w:val="28"/>
      <w:szCs w:val="24"/>
    </w:rPr>
  </w:style>
  <w:style w:type="paragraph" w:styleId="ab">
    <w:name w:val="Balloon Text"/>
    <w:basedOn w:val="a"/>
    <w:link w:val="ac"/>
    <w:rsid w:val="00294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9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ckhard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ckhard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EAFAA-0E28-4E9E-BC50-9C8B0774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1674</Words>
  <Characters>13398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оформлению Изменения к нормативной документации по разделу «Маркировка»</vt:lpstr>
    </vt:vector>
  </TitlesOfParts>
  <Company>Microsoft</Company>
  <LinksUpToDate>false</LinksUpToDate>
  <CharactersWithSpaces>15042</CharactersWithSpaces>
  <SharedDoc>false</SharedDoc>
  <HLinks>
    <vt:vector size="12" baseType="variant"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http://www.wockhardt.ru/</vt:lpwstr>
      </vt:variant>
      <vt:variant>
        <vt:lpwstr/>
      </vt:variant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mailto:info@wockhardt.ru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оформлению Изменения к нормативной документации по разделу «Маркировка»</dc:title>
  <dc:creator>RozhnovaSA</dc:creator>
  <cp:lastModifiedBy>Tatiana Rubtsova</cp:lastModifiedBy>
  <cp:revision>143</cp:revision>
  <cp:lastPrinted>2015-11-27T12:45:00Z</cp:lastPrinted>
  <dcterms:created xsi:type="dcterms:W3CDTF">2015-03-04T12:14:00Z</dcterms:created>
  <dcterms:modified xsi:type="dcterms:W3CDTF">2020-08-17T10:06:00Z</dcterms:modified>
</cp:coreProperties>
</file>